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BEEAC" w14:textId="202A0E22" w:rsidR="002373E2" w:rsidRPr="00E057D8" w:rsidRDefault="002373E2" w:rsidP="00E057D8">
      <w:pPr>
        <w:widowControl w:val="0"/>
        <w:spacing w:line="360" w:lineRule="auto"/>
        <w:ind w:right="-164"/>
        <w:jc w:val="both"/>
        <w:rPr>
          <w:rFonts w:ascii="Palatino Linotype" w:eastAsia="Calibri" w:hAnsi="Palatino Linotype" w:cs="Arial"/>
          <w:b/>
          <w:color w:val="000000"/>
        </w:rPr>
      </w:pPr>
      <w:r w:rsidRPr="00E057D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057D8" w:rsidRPr="00E057D8">
        <w:rPr>
          <w:rFonts w:ascii="Palatino Linotype" w:hAnsi="Palatino Linotype" w:cs="Arial"/>
          <w:b/>
        </w:rPr>
        <w:t xml:space="preserve">VIGÉSIMA </w:t>
      </w:r>
      <w:r w:rsidR="005074B5" w:rsidRPr="00E057D8">
        <w:rPr>
          <w:rFonts w:ascii="Palatino Linotype" w:hAnsi="Palatino Linotype" w:cs="Arial"/>
          <w:b/>
        </w:rPr>
        <w:t>NOVENA</w:t>
      </w:r>
      <w:r w:rsidRPr="00E057D8">
        <w:rPr>
          <w:rFonts w:ascii="Palatino Linotype" w:hAnsi="Palatino Linotype" w:cs="Arial"/>
          <w:b/>
        </w:rPr>
        <w:t xml:space="preserve"> SESIÓN ORDINARIA DE </w:t>
      </w:r>
      <w:r w:rsidR="00E057D8" w:rsidRPr="00E057D8">
        <w:rPr>
          <w:rFonts w:ascii="Palatino Linotype" w:hAnsi="Palatino Linotype" w:cs="Arial"/>
          <w:b/>
        </w:rPr>
        <w:t xml:space="preserve">QUINCE DE AGOSTO </w:t>
      </w:r>
      <w:r w:rsidR="001644FA" w:rsidRPr="00E057D8">
        <w:rPr>
          <w:rFonts w:ascii="Palatino Linotype" w:hAnsi="Palatino Linotype" w:cs="Arial"/>
          <w:b/>
        </w:rPr>
        <w:t>DE DOS MIL</w:t>
      </w:r>
      <w:r w:rsidR="003F6E4F" w:rsidRPr="00E057D8">
        <w:rPr>
          <w:rFonts w:ascii="Palatino Linotype" w:hAnsi="Palatino Linotype" w:cs="Arial"/>
          <w:b/>
        </w:rPr>
        <w:t xml:space="preserve"> DIECIOCHO</w:t>
      </w:r>
      <w:r w:rsidRPr="00E057D8">
        <w:rPr>
          <w:rFonts w:ascii="Palatino Linotype" w:hAnsi="Palatino Linotype" w:cs="Arial"/>
          <w:b/>
        </w:rPr>
        <w:t xml:space="preserve">, EN </w:t>
      </w:r>
      <w:r w:rsidR="00E057D8" w:rsidRPr="00E057D8">
        <w:rPr>
          <w:rFonts w:ascii="Palatino Linotype" w:hAnsi="Palatino Linotype" w:cs="Arial"/>
          <w:b/>
        </w:rPr>
        <w:t>LOS</w:t>
      </w:r>
      <w:r w:rsidRPr="00E057D8">
        <w:rPr>
          <w:rFonts w:ascii="Palatino Linotype" w:hAnsi="Palatino Linotype" w:cs="Arial"/>
          <w:b/>
        </w:rPr>
        <w:t xml:space="preserve"> RECURSO</w:t>
      </w:r>
      <w:r w:rsidR="00E057D8" w:rsidRPr="00E057D8">
        <w:rPr>
          <w:rFonts w:ascii="Palatino Linotype" w:hAnsi="Palatino Linotype" w:cs="Arial"/>
          <w:b/>
        </w:rPr>
        <w:t>S</w:t>
      </w:r>
      <w:r w:rsidRPr="00E057D8">
        <w:rPr>
          <w:rFonts w:ascii="Palatino Linotype" w:hAnsi="Palatino Linotype" w:cs="Arial"/>
          <w:b/>
        </w:rPr>
        <w:t xml:space="preserve"> DE REVISIÓN </w:t>
      </w:r>
      <w:r w:rsidR="00E057D8" w:rsidRPr="00E057D8">
        <w:rPr>
          <w:rFonts w:ascii="Palatino Linotype" w:hAnsi="Palatino Linotype" w:cs="Arial"/>
          <w:b/>
        </w:rPr>
        <w:t>02010/INFOEM/IP/RR/2018 Y 02012/INFOEM/IP/RR/2018 ACUMULADOS</w:t>
      </w:r>
      <w:r w:rsidRPr="00E057D8">
        <w:rPr>
          <w:rFonts w:ascii="Palatino Linotype" w:eastAsia="Calibri" w:hAnsi="Palatino Linotype" w:cs="Arial"/>
          <w:b/>
          <w:color w:val="000000"/>
        </w:rPr>
        <w:t>.</w:t>
      </w:r>
    </w:p>
    <w:p w14:paraId="23200DEF" w14:textId="77777777" w:rsidR="002373E2" w:rsidRPr="00E057D8" w:rsidRDefault="002373E2" w:rsidP="00E057D8">
      <w:pPr>
        <w:widowControl w:val="0"/>
        <w:spacing w:line="360" w:lineRule="auto"/>
        <w:ind w:right="-164"/>
        <w:jc w:val="both"/>
        <w:rPr>
          <w:rFonts w:ascii="Palatino Linotype" w:eastAsia="Calibri" w:hAnsi="Palatino Linotype" w:cs="Arial"/>
          <w:b/>
          <w:color w:val="000000"/>
        </w:rPr>
      </w:pPr>
    </w:p>
    <w:p w14:paraId="1FC34E50" w14:textId="30BC767B" w:rsidR="002373E2" w:rsidRPr="00E057D8" w:rsidRDefault="002373E2" w:rsidP="00E057D8">
      <w:pPr>
        <w:widowControl w:val="0"/>
        <w:spacing w:line="360" w:lineRule="auto"/>
        <w:ind w:right="-164"/>
        <w:jc w:val="both"/>
        <w:rPr>
          <w:rFonts w:ascii="Palatino Linotype" w:hAnsi="Palatino Linotype" w:cs="Arial"/>
        </w:rPr>
      </w:pPr>
      <w:r w:rsidRPr="00E057D8">
        <w:rPr>
          <w:rFonts w:ascii="Palatino Linotype" w:hAnsi="Palatino Linotype" w:cs="Arial"/>
        </w:rPr>
        <w:t>Con fundamento en lo dispuesto por el artículo 14</w:t>
      </w:r>
      <w:r w:rsidR="00FD5BAF">
        <w:rPr>
          <w:rFonts w:ascii="Palatino Linotype" w:hAnsi="Palatino Linotype" w:cs="Arial"/>
        </w:rPr>
        <w:t>,</w:t>
      </w:r>
      <w:r w:rsidRPr="00E057D8">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E057D8">
        <w:rPr>
          <w:rFonts w:ascii="Palatino Linotype" w:hAnsi="Palatino Linotype" w:cs="Arial"/>
          <w:b/>
          <w:lang w:val="es-ES_tradnl"/>
        </w:rPr>
        <w:t xml:space="preserve"> </w:t>
      </w:r>
      <w:r w:rsidRPr="00E057D8">
        <w:rPr>
          <w:rFonts w:ascii="Palatino Linotype" w:hAnsi="Palatino Linotype" w:cs="Arial"/>
          <w:b/>
        </w:rPr>
        <w:t xml:space="preserve">EVA ABAID YAPUR </w:t>
      </w:r>
      <w:r w:rsidRPr="00E057D8">
        <w:rPr>
          <w:rFonts w:ascii="Palatino Linotype" w:hAnsi="Palatino Linotype" w:cs="Arial"/>
        </w:rPr>
        <w:t xml:space="preserve">emite </w:t>
      </w:r>
      <w:r w:rsidRPr="00E057D8">
        <w:rPr>
          <w:rFonts w:ascii="Palatino Linotype" w:hAnsi="Palatino Linotype" w:cs="Arial"/>
          <w:b/>
        </w:rPr>
        <w:t xml:space="preserve">VOTO PARTICULAR </w:t>
      </w:r>
      <w:r w:rsidRPr="00E057D8">
        <w:rPr>
          <w:rFonts w:ascii="Palatino Linotype" w:hAnsi="Palatino Linotype" w:cs="Arial"/>
        </w:rPr>
        <w:t xml:space="preserve">respecto de la resolución dictada en </w:t>
      </w:r>
      <w:r w:rsidR="00E057D8">
        <w:rPr>
          <w:rFonts w:ascii="Palatino Linotype" w:hAnsi="Palatino Linotype" w:cs="Arial"/>
        </w:rPr>
        <w:t>los</w:t>
      </w:r>
      <w:r w:rsidRPr="00E057D8">
        <w:rPr>
          <w:rFonts w:ascii="Palatino Linotype" w:hAnsi="Palatino Linotype" w:cs="Arial"/>
        </w:rPr>
        <w:t xml:space="preserve"> recurso</w:t>
      </w:r>
      <w:r w:rsidR="00E057D8">
        <w:rPr>
          <w:rFonts w:ascii="Palatino Linotype" w:hAnsi="Palatino Linotype" w:cs="Arial"/>
        </w:rPr>
        <w:t>s</w:t>
      </w:r>
      <w:r w:rsidRPr="00E057D8">
        <w:rPr>
          <w:rFonts w:ascii="Palatino Linotype" w:hAnsi="Palatino Linotype" w:cs="Arial"/>
        </w:rPr>
        <w:t xml:space="preserve"> de revisión </w:t>
      </w:r>
      <w:r w:rsidR="00E057D8" w:rsidRPr="00E057D8">
        <w:rPr>
          <w:rFonts w:ascii="Palatino Linotype" w:eastAsia="Calibri" w:hAnsi="Palatino Linotype" w:cs="Arial"/>
          <w:b/>
          <w:color w:val="000000"/>
        </w:rPr>
        <w:t xml:space="preserve">02010/INFOEM/IP/RR/2018 </w:t>
      </w:r>
      <w:r w:rsidR="00E057D8" w:rsidRPr="00E057D8">
        <w:rPr>
          <w:rFonts w:ascii="Palatino Linotype" w:eastAsia="Calibri" w:hAnsi="Palatino Linotype" w:cs="Arial"/>
          <w:color w:val="000000"/>
        </w:rPr>
        <w:t>y</w:t>
      </w:r>
      <w:r w:rsidR="00E057D8" w:rsidRPr="00E057D8">
        <w:rPr>
          <w:rFonts w:ascii="Palatino Linotype" w:eastAsia="Calibri" w:hAnsi="Palatino Linotype" w:cs="Arial"/>
          <w:b/>
          <w:color w:val="000000"/>
        </w:rPr>
        <w:t xml:space="preserve"> 02012/INFOEM/IP/RR/2018 </w:t>
      </w:r>
      <w:r w:rsidR="00E057D8" w:rsidRPr="00E057D8">
        <w:rPr>
          <w:rFonts w:ascii="Palatino Linotype" w:eastAsia="Calibri" w:hAnsi="Palatino Linotype" w:cs="Arial"/>
          <w:color w:val="000000"/>
        </w:rPr>
        <w:t>acumulados</w:t>
      </w:r>
      <w:r w:rsidRPr="00E057D8">
        <w:rPr>
          <w:rFonts w:ascii="Palatino Linotype" w:hAnsi="Palatino Linotype" w:cs="Arial"/>
        </w:rPr>
        <w:t xml:space="preserve">, pronunciada por el Pleno de este Instituto ante el proyecto presentado por </w:t>
      </w:r>
      <w:r w:rsidR="005074B5" w:rsidRPr="00E057D8">
        <w:rPr>
          <w:rFonts w:ascii="Palatino Linotype" w:hAnsi="Palatino Linotype" w:cs="Arial"/>
        </w:rPr>
        <w:t>la</w:t>
      </w:r>
      <w:r w:rsidRPr="00E057D8">
        <w:rPr>
          <w:rFonts w:ascii="Palatino Linotype" w:hAnsi="Palatino Linotype" w:cs="Arial"/>
        </w:rPr>
        <w:t xml:space="preserve"> Comisionad</w:t>
      </w:r>
      <w:r w:rsidR="005074B5" w:rsidRPr="00E057D8">
        <w:rPr>
          <w:rFonts w:ascii="Palatino Linotype" w:hAnsi="Palatino Linotype" w:cs="Arial"/>
        </w:rPr>
        <w:t>a Presidenta</w:t>
      </w:r>
      <w:r w:rsidRPr="00E057D8">
        <w:rPr>
          <w:rFonts w:ascii="Palatino Linotype" w:hAnsi="Palatino Linotype" w:cs="Arial"/>
        </w:rPr>
        <w:t xml:space="preserve"> </w:t>
      </w:r>
      <w:r w:rsidR="005074B5" w:rsidRPr="00E057D8">
        <w:rPr>
          <w:rFonts w:ascii="Palatino Linotype" w:hAnsi="Palatino Linotype" w:cs="Arial"/>
          <w:b/>
        </w:rPr>
        <w:t>ZULEMA MARTÍNEZ SÁNCHEZ</w:t>
      </w:r>
      <w:r w:rsidR="001644FA" w:rsidRPr="00E057D8">
        <w:rPr>
          <w:rFonts w:ascii="Palatino Linotype" w:hAnsi="Palatino Linotype" w:cs="Arial"/>
        </w:rPr>
        <w:t>, que es del tenor siguiente.</w:t>
      </w:r>
    </w:p>
    <w:p w14:paraId="1D2379CF" w14:textId="77777777" w:rsidR="002373E2" w:rsidRPr="00E057D8" w:rsidRDefault="002373E2" w:rsidP="00E057D8">
      <w:pPr>
        <w:widowControl w:val="0"/>
        <w:spacing w:line="360" w:lineRule="auto"/>
        <w:ind w:right="-164"/>
        <w:jc w:val="both"/>
        <w:rPr>
          <w:rFonts w:ascii="Palatino Linotype" w:hAnsi="Palatino Linotype" w:cs="Arial"/>
        </w:rPr>
      </w:pPr>
    </w:p>
    <w:p w14:paraId="3802A3D4" w14:textId="0FFC2013" w:rsidR="0007653D" w:rsidRPr="00E057D8" w:rsidRDefault="0007653D" w:rsidP="00E057D8">
      <w:pPr>
        <w:spacing w:line="360" w:lineRule="auto"/>
        <w:jc w:val="both"/>
        <w:rPr>
          <w:rFonts w:ascii="Palatino Linotype" w:hAnsi="Palatino Linotype"/>
        </w:rPr>
      </w:pPr>
      <w:r w:rsidRPr="00E057D8">
        <w:rPr>
          <w:rFonts w:ascii="Palatino Linotype" w:hAnsi="Palatino Linotype"/>
        </w:rPr>
        <w:t>Es de destacar, que la suscrita compart</w:t>
      </w:r>
      <w:r w:rsidR="00847E60" w:rsidRPr="00E057D8">
        <w:rPr>
          <w:rFonts w:ascii="Palatino Linotype" w:hAnsi="Palatino Linotype"/>
        </w:rPr>
        <w:t>e</w:t>
      </w:r>
      <w:r w:rsidRPr="00E057D8">
        <w:rPr>
          <w:rFonts w:ascii="Palatino Linotype" w:hAnsi="Palatino Linotype"/>
        </w:rPr>
        <w:t xml:space="preserve"> </w:t>
      </w:r>
      <w:r w:rsidR="00A04C79" w:rsidRPr="00E057D8">
        <w:rPr>
          <w:rFonts w:ascii="Palatino Linotype" w:hAnsi="Palatino Linotype"/>
        </w:rPr>
        <w:t xml:space="preserve">esencialmente el estudio realizado en la resolución </w:t>
      </w:r>
      <w:r w:rsidRPr="00E057D8">
        <w:rPr>
          <w:rFonts w:ascii="Palatino Linotype" w:hAnsi="Palatino Linotype"/>
        </w:rPr>
        <w:t>del recurso de revis</w:t>
      </w:r>
      <w:r w:rsidR="00D557C2" w:rsidRPr="00E057D8">
        <w:rPr>
          <w:rFonts w:ascii="Palatino Linotype" w:hAnsi="Palatino Linotype"/>
        </w:rPr>
        <w:t xml:space="preserve">ión; empero, </w:t>
      </w:r>
      <w:r w:rsidR="00FA0CFF" w:rsidRPr="00E057D8">
        <w:rPr>
          <w:rFonts w:ascii="Palatino Linotype" w:hAnsi="Palatino Linotype"/>
        </w:rPr>
        <w:t>estimo</w:t>
      </w:r>
      <w:r w:rsidRPr="00E057D8">
        <w:rPr>
          <w:rFonts w:ascii="Palatino Linotype" w:hAnsi="Palatino Linotype"/>
        </w:rPr>
        <w:t xml:space="preserve"> necesario precisar algunas consideraciones de hecho y de derecho, </w:t>
      </w:r>
      <w:r w:rsidR="00FA0CFF" w:rsidRPr="00E057D8">
        <w:rPr>
          <w:rFonts w:ascii="Palatino Linotype" w:hAnsi="Palatino Linotype"/>
        </w:rPr>
        <w:t>tocante a parte de lo que se ordena en</w:t>
      </w:r>
      <w:r w:rsidRPr="00E057D8">
        <w:rPr>
          <w:rFonts w:ascii="Palatino Linotype" w:hAnsi="Palatino Linotype"/>
        </w:rPr>
        <w:t xml:space="preserve"> la resolución correspondiente.</w:t>
      </w:r>
    </w:p>
    <w:p w14:paraId="5853D40E" w14:textId="77777777" w:rsidR="0007653D" w:rsidRPr="00E057D8" w:rsidRDefault="0007653D" w:rsidP="00E057D8">
      <w:pPr>
        <w:widowControl w:val="0"/>
        <w:spacing w:line="360" w:lineRule="auto"/>
        <w:ind w:right="-164"/>
        <w:jc w:val="both"/>
        <w:rPr>
          <w:rFonts w:ascii="Palatino Linotype" w:hAnsi="Palatino Linotype"/>
        </w:rPr>
      </w:pPr>
    </w:p>
    <w:p w14:paraId="173545D6" w14:textId="2939A2DA" w:rsidR="001644FA" w:rsidRPr="00E057D8" w:rsidRDefault="0007653D" w:rsidP="00E057D8">
      <w:pPr>
        <w:spacing w:line="360" w:lineRule="auto"/>
        <w:jc w:val="both"/>
        <w:rPr>
          <w:rFonts w:ascii="Palatino Linotype" w:hAnsi="Palatino Linotype" w:cs="Arial"/>
          <w:i/>
        </w:rPr>
      </w:pPr>
      <w:r w:rsidRPr="00E057D8">
        <w:rPr>
          <w:rFonts w:ascii="Palatino Linotype" w:hAnsi="Palatino Linotype"/>
        </w:rPr>
        <w:t xml:space="preserve">Al respecto, tal y como quedó debidamente asentado en la resolución materia del presente voto, </w:t>
      </w:r>
      <w:r w:rsidR="00782352" w:rsidRPr="00E057D8">
        <w:rPr>
          <w:rFonts w:ascii="Palatino Linotype" w:hAnsi="Palatino Linotype"/>
        </w:rPr>
        <w:t>el</w:t>
      </w:r>
      <w:r w:rsidRPr="00E057D8">
        <w:rPr>
          <w:rFonts w:ascii="Palatino Linotype" w:hAnsi="Palatino Linotype"/>
        </w:rPr>
        <w:t xml:space="preserve"> particular </w:t>
      </w:r>
      <w:r w:rsidR="008C0700" w:rsidRPr="00E057D8">
        <w:rPr>
          <w:rFonts w:ascii="Palatino Linotype" w:hAnsi="Palatino Linotype"/>
        </w:rPr>
        <w:t>requirió de</w:t>
      </w:r>
      <w:r w:rsidR="00E057D8">
        <w:rPr>
          <w:rFonts w:ascii="Palatino Linotype" w:hAnsi="Palatino Linotype"/>
        </w:rPr>
        <w:t xml:space="preserve"> </w:t>
      </w:r>
      <w:r w:rsidR="008C0700" w:rsidRPr="00E057D8">
        <w:rPr>
          <w:rFonts w:ascii="Palatino Linotype" w:hAnsi="Palatino Linotype"/>
        </w:rPr>
        <w:t>l</w:t>
      </w:r>
      <w:r w:rsidR="00E057D8">
        <w:rPr>
          <w:rFonts w:ascii="Palatino Linotype" w:hAnsi="Palatino Linotype"/>
        </w:rPr>
        <w:t>a</w:t>
      </w:r>
      <w:r w:rsidR="008C0700" w:rsidRPr="00E057D8">
        <w:rPr>
          <w:rFonts w:ascii="Palatino Linotype" w:hAnsi="Palatino Linotype"/>
        </w:rPr>
        <w:t xml:space="preserve"> </w:t>
      </w:r>
      <w:r w:rsidR="00E057D8" w:rsidRPr="00E057D8">
        <w:rPr>
          <w:rFonts w:ascii="Palatino Linotype" w:hAnsi="Palatino Linotype"/>
          <w:b/>
        </w:rPr>
        <w:t>Secretaría de Finanzas</w:t>
      </w:r>
      <w:r w:rsidR="001644FA" w:rsidRPr="00E057D8">
        <w:rPr>
          <w:rFonts w:ascii="Palatino Linotype" w:hAnsi="Palatino Linotype"/>
        </w:rPr>
        <w:t xml:space="preserve">, en lo subsecuente </w:t>
      </w:r>
      <w:r w:rsidR="001644FA" w:rsidRPr="00E057D8">
        <w:rPr>
          <w:rFonts w:ascii="Palatino Linotype" w:hAnsi="Palatino Linotype"/>
          <w:b/>
        </w:rPr>
        <w:t xml:space="preserve">EL </w:t>
      </w:r>
      <w:r w:rsidR="008C0700" w:rsidRPr="00E057D8">
        <w:rPr>
          <w:rFonts w:ascii="Palatino Linotype" w:hAnsi="Palatino Linotype"/>
          <w:b/>
        </w:rPr>
        <w:lastRenderedPageBreak/>
        <w:t>SUJETO OBLIGADO</w:t>
      </w:r>
      <w:r w:rsidR="00B12109" w:rsidRPr="00E057D8">
        <w:rPr>
          <w:rFonts w:ascii="Palatino Linotype" w:hAnsi="Palatino Linotype"/>
          <w:b/>
        </w:rPr>
        <w:t>,</w:t>
      </w:r>
      <w:r w:rsidR="008C0700" w:rsidRPr="00E057D8">
        <w:rPr>
          <w:rFonts w:ascii="Palatino Linotype" w:hAnsi="Palatino Linotype"/>
        </w:rPr>
        <w:t xml:space="preserve"> </w:t>
      </w:r>
      <w:r w:rsidR="003102FA" w:rsidRPr="00E057D8">
        <w:rPr>
          <w:rFonts w:ascii="Palatino Linotype" w:hAnsi="Palatino Linotype"/>
        </w:rPr>
        <w:t xml:space="preserve">vía </w:t>
      </w:r>
      <w:r w:rsidR="003102FA" w:rsidRPr="00E057D8">
        <w:rPr>
          <w:rFonts w:ascii="Palatino Linotype" w:hAnsi="Palatino Linotype"/>
          <w:b/>
        </w:rPr>
        <w:t>SAIMEX</w:t>
      </w:r>
      <w:r w:rsidR="003102FA" w:rsidRPr="00E057D8">
        <w:rPr>
          <w:rFonts w:ascii="Palatino Linotype" w:hAnsi="Palatino Linotype"/>
        </w:rPr>
        <w:t>,</w:t>
      </w:r>
      <w:r w:rsidR="000D66DE" w:rsidRPr="00E057D8">
        <w:rPr>
          <w:rFonts w:ascii="Palatino Linotype" w:hAnsi="Palatino Linotype" w:cs="Arial"/>
        </w:rPr>
        <w:t xml:space="preserve"> </w:t>
      </w:r>
      <w:r w:rsidR="00E057D8">
        <w:rPr>
          <w:rFonts w:ascii="Palatino Linotype" w:hAnsi="Palatino Linotype" w:cs="Arial"/>
        </w:rPr>
        <w:t>copia del contrato celebrado por la Secretaría con un</w:t>
      </w:r>
      <w:r w:rsidR="00D11607">
        <w:rPr>
          <w:rFonts w:ascii="Palatino Linotype" w:hAnsi="Palatino Linotype" w:cs="Arial"/>
        </w:rPr>
        <w:t xml:space="preserve"> </w:t>
      </w:r>
      <w:r w:rsidR="00E057D8">
        <w:rPr>
          <w:rFonts w:ascii="Palatino Linotype" w:hAnsi="Palatino Linotype" w:cs="Arial"/>
        </w:rPr>
        <w:t xml:space="preserve">particular y una empresa señalada en las solicitudes 00246/SF/IP/2018 y </w:t>
      </w:r>
      <w:r w:rsidR="00E057D8" w:rsidRPr="00E057D8">
        <w:rPr>
          <w:rFonts w:ascii="Palatino Linotype" w:hAnsi="Palatino Linotype" w:cs="Arial"/>
        </w:rPr>
        <w:t>00245/SF/IP/2018</w:t>
      </w:r>
      <w:r w:rsidR="00E057D8">
        <w:rPr>
          <w:rFonts w:ascii="Palatino Linotype" w:hAnsi="Palatino Linotype" w:cs="Arial"/>
        </w:rPr>
        <w:t xml:space="preserve"> respectivamente, así como las facturas del pago de dichos contratos.</w:t>
      </w:r>
    </w:p>
    <w:p w14:paraId="54E60832" w14:textId="77777777" w:rsidR="005074B5" w:rsidRPr="00E057D8" w:rsidRDefault="005074B5" w:rsidP="00E057D8">
      <w:pPr>
        <w:spacing w:line="360" w:lineRule="auto"/>
        <w:jc w:val="both"/>
        <w:rPr>
          <w:rFonts w:ascii="Palatino Linotype" w:hAnsi="Palatino Linotype" w:cs="Arial"/>
        </w:rPr>
      </w:pPr>
    </w:p>
    <w:p w14:paraId="0E395EBF" w14:textId="7494CB37" w:rsidR="00400BDF" w:rsidRPr="00400BDF" w:rsidRDefault="001644FA" w:rsidP="00400BDF">
      <w:pPr>
        <w:spacing w:line="360" w:lineRule="auto"/>
        <w:jc w:val="both"/>
        <w:rPr>
          <w:rFonts w:ascii="Palatino Linotype" w:hAnsi="Palatino Linotype" w:cs="Arial"/>
        </w:rPr>
      </w:pPr>
      <w:r w:rsidRPr="00E057D8">
        <w:rPr>
          <w:rFonts w:ascii="Palatino Linotype" w:hAnsi="Palatino Linotype" w:cs="Arial"/>
        </w:rPr>
        <w:t>Del expediente electrónico</w:t>
      </w:r>
      <w:r w:rsidR="00B12109" w:rsidRPr="00E057D8">
        <w:rPr>
          <w:rFonts w:ascii="Palatino Linotype" w:hAnsi="Palatino Linotype" w:cs="Arial"/>
        </w:rPr>
        <w:t>,</w:t>
      </w:r>
      <w:r w:rsidRPr="00E057D8">
        <w:rPr>
          <w:rFonts w:ascii="Palatino Linotype" w:hAnsi="Palatino Linotype" w:cs="Arial"/>
        </w:rPr>
        <w:t xml:space="preserve"> se advierte que</w:t>
      </w:r>
      <w:r w:rsidR="00B57FE6" w:rsidRPr="00E057D8">
        <w:rPr>
          <w:rFonts w:ascii="Palatino Linotype" w:hAnsi="Palatino Linotype" w:cs="Arial"/>
        </w:rPr>
        <w:t xml:space="preserve"> </w:t>
      </w:r>
      <w:r w:rsidR="00B57FE6" w:rsidRPr="00E057D8">
        <w:rPr>
          <w:rFonts w:ascii="Palatino Linotype" w:hAnsi="Palatino Linotype" w:cs="Arial"/>
          <w:b/>
        </w:rPr>
        <w:t>EL SUJETO OBLIGADO</w:t>
      </w:r>
      <w:r w:rsidR="00B57FE6" w:rsidRPr="00E057D8">
        <w:rPr>
          <w:rFonts w:ascii="Palatino Linotype" w:hAnsi="Palatino Linotype" w:cs="Arial"/>
        </w:rPr>
        <w:t xml:space="preserve"> </w:t>
      </w:r>
      <w:r w:rsidR="00400BDF">
        <w:rPr>
          <w:rFonts w:ascii="Palatino Linotype" w:hAnsi="Palatino Linotype" w:cs="Arial"/>
        </w:rPr>
        <w:t>proporcionó la liga electrónica a través de la cual podía realizar la consulta de los contratos requeridos, asimismo informó que respecto a las facturas, se sugería realizar una nueva solicitud</w:t>
      </w:r>
      <w:r w:rsidR="00400BDF" w:rsidRPr="00400BDF">
        <w:rPr>
          <w:rFonts w:ascii="Palatino Linotype" w:hAnsi="Palatino Linotype" w:cs="Arial"/>
        </w:rPr>
        <w:t xml:space="preserve"> a la Secretaría de Cultura por ser ésta la autoridad ejecut</w:t>
      </w:r>
      <w:r w:rsidR="00400BDF">
        <w:rPr>
          <w:rFonts w:ascii="Palatino Linotype" w:hAnsi="Palatino Linotype" w:cs="Arial"/>
        </w:rPr>
        <w:t>ora del gasto y por ende, ser quien cuenta con la información.</w:t>
      </w:r>
    </w:p>
    <w:p w14:paraId="44B0723B" w14:textId="77777777" w:rsidR="00400BDF" w:rsidRDefault="00400BDF" w:rsidP="00400BDF">
      <w:pPr>
        <w:spacing w:line="360" w:lineRule="auto"/>
        <w:jc w:val="both"/>
        <w:rPr>
          <w:rFonts w:ascii="Palatino Linotype" w:hAnsi="Palatino Linotype" w:cs="Arial"/>
        </w:rPr>
      </w:pPr>
    </w:p>
    <w:p w14:paraId="7FF2C5D0" w14:textId="661496B8" w:rsidR="009C0013" w:rsidRPr="00E057D8" w:rsidRDefault="007C0FDA" w:rsidP="00E057D8">
      <w:pPr>
        <w:spacing w:line="360" w:lineRule="auto"/>
        <w:jc w:val="both"/>
        <w:rPr>
          <w:rFonts w:ascii="Palatino Linotype" w:hAnsi="Palatino Linotype" w:cs="Arial"/>
        </w:rPr>
      </w:pPr>
      <w:r w:rsidRPr="00E057D8">
        <w:rPr>
          <w:rFonts w:ascii="Palatino Linotype" w:hAnsi="Palatino Linotype" w:cs="Arial"/>
        </w:rPr>
        <w:t xml:space="preserve">Así, </w:t>
      </w:r>
      <w:r w:rsidR="00B5072E" w:rsidRPr="00E057D8">
        <w:rPr>
          <w:rFonts w:ascii="Palatino Linotype" w:hAnsi="Palatino Linotype" w:cs="Arial"/>
        </w:rPr>
        <w:t>de</w:t>
      </w:r>
      <w:r w:rsidRPr="00E057D8">
        <w:rPr>
          <w:rFonts w:ascii="Palatino Linotype" w:hAnsi="Palatino Linotype" w:cs="Arial"/>
        </w:rPr>
        <w:t xml:space="preserve">l estudio </w:t>
      </w:r>
      <w:r w:rsidR="00B5072E" w:rsidRPr="00E057D8">
        <w:rPr>
          <w:rFonts w:ascii="Palatino Linotype" w:hAnsi="Palatino Linotype" w:cs="Arial"/>
        </w:rPr>
        <w:t>d</w:t>
      </w:r>
      <w:r w:rsidR="00B5072E" w:rsidRPr="00E057D8">
        <w:rPr>
          <w:rFonts w:ascii="Palatino Linotype" w:hAnsi="Palatino Linotype"/>
        </w:rPr>
        <w:t>el expediente electrónico del SAIMEX</w:t>
      </w:r>
      <w:r w:rsidRPr="00E057D8">
        <w:rPr>
          <w:rFonts w:ascii="Palatino Linotype" w:hAnsi="Palatino Linotype" w:cs="Arial"/>
        </w:rPr>
        <w:t xml:space="preserve">, </w:t>
      </w:r>
      <w:r w:rsidR="0007653D" w:rsidRPr="00E057D8">
        <w:rPr>
          <w:rFonts w:ascii="Palatino Linotype" w:hAnsi="Palatino Linotype" w:cs="Arial"/>
        </w:rPr>
        <w:t xml:space="preserve">la Ponencia </w:t>
      </w:r>
      <w:proofErr w:type="spellStart"/>
      <w:r w:rsidR="0007653D" w:rsidRPr="00E057D8">
        <w:rPr>
          <w:rFonts w:ascii="Palatino Linotype" w:hAnsi="Palatino Linotype" w:cs="Arial"/>
        </w:rPr>
        <w:t>Resolut</w:t>
      </w:r>
      <w:r w:rsidR="00414E48" w:rsidRPr="00E057D8">
        <w:rPr>
          <w:rFonts w:ascii="Palatino Linotype" w:hAnsi="Palatino Linotype" w:cs="Arial"/>
        </w:rPr>
        <w:t>o</w:t>
      </w:r>
      <w:r w:rsidR="0007653D" w:rsidRPr="00E057D8">
        <w:rPr>
          <w:rFonts w:ascii="Palatino Linotype" w:hAnsi="Palatino Linotype" w:cs="Arial"/>
        </w:rPr>
        <w:t>ra</w:t>
      </w:r>
      <w:proofErr w:type="spellEnd"/>
      <w:r w:rsidR="0007653D" w:rsidRPr="00E057D8">
        <w:rPr>
          <w:rFonts w:ascii="Palatino Linotype" w:hAnsi="Palatino Linotype" w:cs="Arial"/>
        </w:rPr>
        <w:t xml:space="preserve"> determinó</w:t>
      </w:r>
      <w:r w:rsidRPr="00E057D8">
        <w:rPr>
          <w:rFonts w:ascii="Palatino Linotype" w:hAnsi="Palatino Linotype" w:cs="Arial"/>
        </w:rPr>
        <w:t xml:space="preserve"> </w:t>
      </w:r>
      <w:r w:rsidR="00400BDF">
        <w:rPr>
          <w:rFonts w:ascii="Palatino Linotype" w:hAnsi="Palatino Linotype" w:cs="Arial"/>
          <w:b/>
        </w:rPr>
        <w:t>REVOCAR</w:t>
      </w:r>
      <w:r w:rsidR="00E81B58" w:rsidRPr="00E057D8">
        <w:rPr>
          <w:rFonts w:ascii="Palatino Linotype" w:hAnsi="Palatino Linotype" w:cs="Arial"/>
          <w:b/>
        </w:rPr>
        <w:t xml:space="preserve"> </w:t>
      </w:r>
      <w:r w:rsidR="00E81B58" w:rsidRPr="00E057D8">
        <w:rPr>
          <w:rFonts w:ascii="Palatino Linotype" w:hAnsi="Palatino Linotype" w:cs="Arial"/>
        </w:rPr>
        <w:t xml:space="preserve">la respuesta del </w:t>
      </w:r>
      <w:r w:rsidR="00E81B58" w:rsidRPr="00E057D8">
        <w:rPr>
          <w:rFonts w:ascii="Palatino Linotype" w:hAnsi="Palatino Linotype" w:cs="Arial"/>
          <w:b/>
        </w:rPr>
        <w:t>SUJETO OBLIGADO</w:t>
      </w:r>
      <w:r w:rsidR="00E81B58" w:rsidRPr="00E057D8">
        <w:rPr>
          <w:rFonts w:ascii="Palatino Linotype" w:hAnsi="Palatino Linotype" w:cs="Arial"/>
        </w:rPr>
        <w:t xml:space="preserve"> </w:t>
      </w:r>
      <w:r w:rsidR="00285C77" w:rsidRPr="00E057D8">
        <w:rPr>
          <w:rFonts w:ascii="Palatino Linotype" w:hAnsi="Palatino Linotype" w:cs="Arial"/>
        </w:rPr>
        <w:t>ordenándole</w:t>
      </w:r>
      <w:r w:rsidR="00E81B58" w:rsidRPr="00E057D8">
        <w:rPr>
          <w:rFonts w:ascii="Palatino Linotype" w:hAnsi="Palatino Linotype" w:cs="Arial"/>
        </w:rPr>
        <w:t xml:space="preserve"> </w:t>
      </w:r>
      <w:r w:rsidR="009C0013" w:rsidRPr="00E057D8">
        <w:rPr>
          <w:rFonts w:ascii="Palatino Linotype" w:hAnsi="Palatino Linotype" w:cs="Arial"/>
        </w:rPr>
        <w:t xml:space="preserve">hacer entrega vía Sistema de Acceso a Información Mexiquense, </w:t>
      </w:r>
      <w:r w:rsidR="00400BDF">
        <w:rPr>
          <w:rFonts w:ascii="Palatino Linotype" w:hAnsi="Palatino Linotype" w:cs="Arial"/>
        </w:rPr>
        <w:t>de</w:t>
      </w:r>
      <w:r w:rsidR="009C0013" w:rsidRPr="00E057D8">
        <w:rPr>
          <w:rFonts w:ascii="Palatino Linotype" w:hAnsi="Palatino Linotype" w:cs="Arial"/>
        </w:rPr>
        <w:t xml:space="preserve"> lo siguiente:</w:t>
      </w:r>
    </w:p>
    <w:p w14:paraId="59A59114" w14:textId="77777777" w:rsidR="009C0013" w:rsidRPr="00E057D8" w:rsidRDefault="009C0013" w:rsidP="00E057D8">
      <w:pPr>
        <w:spacing w:line="360" w:lineRule="auto"/>
        <w:jc w:val="both"/>
        <w:rPr>
          <w:rFonts w:ascii="Palatino Linotype" w:hAnsi="Palatino Linotype" w:cs="Arial"/>
        </w:rPr>
      </w:pPr>
    </w:p>
    <w:p w14:paraId="603A4700" w14:textId="77777777" w:rsidR="00400BDF" w:rsidRDefault="00400BDF" w:rsidP="00400BDF">
      <w:pPr>
        <w:pStyle w:val="Prrafodelista"/>
        <w:numPr>
          <w:ilvl w:val="0"/>
          <w:numId w:val="17"/>
        </w:numPr>
        <w:ind w:left="1069" w:right="757"/>
        <w:jc w:val="both"/>
        <w:rPr>
          <w:rFonts w:ascii="Palatino Linotype" w:hAnsi="Palatino Linotype" w:cs="Arial"/>
          <w:i/>
          <w:sz w:val="22"/>
        </w:rPr>
      </w:pPr>
      <w:r w:rsidRPr="00400BDF">
        <w:rPr>
          <w:rFonts w:ascii="Palatino Linotype" w:hAnsi="Palatino Linotype" w:cs="Arial"/>
          <w:i/>
          <w:sz w:val="22"/>
        </w:rPr>
        <w:t>Los contratos requeridos en las solicitudes de información 00246/SF/IP/2018 y 00245/SF/IP/2018.</w:t>
      </w:r>
    </w:p>
    <w:p w14:paraId="0A3B1648" w14:textId="36C2C5CF" w:rsidR="00400BDF" w:rsidRPr="00400BDF" w:rsidRDefault="00400BDF" w:rsidP="00400BDF">
      <w:pPr>
        <w:pStyle w:val="Prrafodelista"/>
        <w:numPr>
          <w:ilvl w:val="0"/>
          <w:numId w:val="17"/>
        </w:numPr>
        <w:ind w:left="1069" w:right="757"/>
        <w:jc w:val="both"/>
        <w:rPr>
          <w:rFonts w:ascii="Palatino Linotype" w:hAnsi="Palatino Linotype" w:cs="Arial"/>
          <w:i/>
          <w:sz w:val="22"/>
        </w:rPr>
      </w:pPr>
      <w:r w:rsidRPr="00400BDF">
        <w:rPr>
          <w:rFonts w:ascii="Palatino Linotype" w:hAnsi="Palatino Linotype" w:cs="Arial"/>
          <w:i/>
          <w:sz w:val="22"/>
        </w:rPr>
        <w:t>Las facturas requeridas en las solicitudes de información 00246/SF/IP/2018 y 00245/SF/IP/2018.</w:t>
      </w:r>
    </w:p>
    <w:p w14:paraId="17D2866D" w14:textId="77777777" w:rsidR="00400BDF" w:rsidRPr="00400BDF" w:rsidRDefault="00400BDF" w:rsidP="00400BDF">
      <w:pPr>
        <w:pStyle w:val="Prrafodelista"/>
        <w:spacing w:line="360" w:lineRule="auto"/>
        <w:ind w:left="1069" w:right="757"/>
        <w:jc w:val="both"/>
        <w:rPr>
          <w:rFonts w:ascii="Palatino Linotype" w:hAnsi="Palatino Linotype" w:cs="Arial"/>
          <w:i/>
          <w:sz w:val="22"/>
        </w:rPr>
      </w:pPr>
    </w:p>
    <w:p w14:paraId="19AF0A0A" w14:textId="6B731F85" w:rsidR="00A500E1" w:rsidRPr="00E057D8" w:rsidRDefault="00285C77" w:rsidP="00400BDF">
      <w:pPr>
        <w:spacing w:line="360" w:lineRule="auto"/>
        <w:jc w:val="both"/>
        <w:rPr>
          <w:rFonts w:ascii="Palatino Linotype" w:hAnsi="Palatino Linotype" w:cs="Arial"/>
        </w:rPr>
      </w:pPr>
      <w:r w:rsidRPr="00E057D8">
        <w:rPr>
          <w:rFonts w:ascii="Palatino Linotype" w:hAnsi="Palatino Linotype" w:cs="Arial"/>
        </w:rPr>
        <w:t>Advirtiéndose</w:t>
      </w:r>
      <w:r w:rsidR="00A500E1" w:rsidRPr="00E057D8">
        <w:rPr>
          <w:rFonts w:ascii="Palatino Linotype" w:hAnsi="Palatino Linotype" w:cs="Arial"/>
        </w:rPr>
        <w:t xml:space="preserve">, que </w:t>
      </w:r>
      <w:r w:rsidR="00400BDF">
        <w:rPr>
          <w:rFonts w:ascii="Palatino Linotype" w:hAnsi="Palatino Linotype" w:cs="Arial"/>
        </w:rPr>
        <w:t>p</w:t>
      </w:r>
      <w:r w:rsidR="00400BDF" w:rsidRPr="00400BDF">
        <w:rPr>
          <w:rFonts w:ascii="Palatino Linotype" w:hAnsi="Palatino Linotype" w:cs="Arial"/>
        </w:rPr>
        <w:t>ara el caso de</w:t>
      </w:r>
      <w:r w:rsidR="00400BDF">
        <w:rPr>
          <w:rFonts w:ascii="Palatino Linotype" w:hAnsi="Palatino Linotype" w:cs="Arial"/>
        </w:rPr>
        <w:t xml:space="preserve"> la información que se ordena en e</w:t>
      </w:r>
      <w:r w:rsidR="00400BDF" w:rsidRPr="00400BDF">
        <w:rPr>
          <w:rFonts w:ascii="Palatino Linotype" w:hAnsi="Palatino Linotype" w:cs="Arial"/>
        </w:rPr>
        <w:t>l inciso b</w:t>
      </w:r>
      <w:r w:rsidR="00400BDF">
        <w:rPr>
          <w:rFonts w:ascii="Palatino Linotype" w:hAnsi="Palatino Linotype" w:cs="Arial"/>
        </w:rPr>
        <w:t>)</w:t>
      </w:r>
      <w:r w:rsidR="00400BDF" w:rsidRPr="00400BDF">
        <w:rPr>
          <w:rFonts w:ascii="Palatino Linotype" w:hAnsi="Palatino Linotype" w:cs="Arial"/>
        </w:rPr>
        <w:t xml:space="preserve">, de no localizarse, </w:t>
      </w:r>
      <w:r w:rsidR="00400BDF" w:rsidRPr="00400BDF">
        <w:rPr>
          <w:rFonts w:ascii="Palatino Linotype" w:hAnsi="Palatino Linotype" w:cs="Arial"/>
          <w:b/>
        </w:rPr>
        <w:t>EL SUJETO OBLIGADO</w:t>
      </w:r>
      <w:r w:rsidR="00400BDF" w:rsidRPr="00400BDF">
        <w:rPr>
          <w:rFonts w:ascii="Palatino Linotype" w:hAnsi="Palatino Linotype" w:cs="Arial"/>
        </w:rPr>
        <w:t xml:space="preserve"> deber</w:t>
      </w:r>
      <w:r w:rsidR="00FD5BAF">
        <w:rPr>
          <w:rFonts w:ascii="Palatino Linotype" w:hAnsi="Palatino Linotype" w:cs="Arial"/>
        </w:rPr>
        <w:t>ía</w:t>
      </w:r>
      <w:r w:rsidR="00400BDF" w:rsidRPr="00400BDF">
        <w:rPr>
          <w:rFonts w:ascii="Palatino Linotype" w:hAnsi="Palatino Linotype" w:cs="Arial"/>
        </w:rPr>
        <w:t xml:space="preserve"> poner a disposición del </w:t>
      </w:r>
      <w:r w:rsidR="00400BDF" w:rsidRPr="00400BDF">
        <w:rPr>
          <w:rFonts w:ascii="Palatino Linotype" w:hAnsi="Palatino Linotype" w:cs="Arial"/>
          <w:b/>
        </w:rPr>
        <w:t>RECURRENTE</w:t>
      </w:r>
      <w:r w:rsidR="00400BDF" w:rsidRPr="00400BDF">
        <w:rPr>
          <w:rFonts w:ascii="Palatino Linotype" w:hAnsi="Palatino Linotype" w:cs="Arial"/>
        </w:rPr>
        <w:t xml:space="preserve"> el respectivo </w:t>
      </w:r>
      <w:r w:rsidR="00701AD1" w:rsidRPr="00400BDF">
        <w:rPr>
          <w:rFonts w:ascii="Palatino Linotype" w:hAnsi="Palatino Linotype" w:cs="Arial"/>
        </w:rPr>
        <w:t xml:space="preserve">Acuerdo </w:t>
      </w:r>
      <w:r w:rsidR="00400BDF" w:rsidRPr="00400BDF">
        <w:rPr>
          <w:rFonts w:ascii="Palatino Linotype" w:hAnsi="Palatino Linotype" w:cs="Arial"/>
        </w:rPr>
        <w:t xml:space="preserve">de </w:t>
      </w:r>
      <w:r w:rsidR="00701AD1" w:rsidRPr="00400BDF">
        <w:rPr>
          <w:rFonts w:ascii="Palatino Linotype" w:hAnsi="Palatino Linotype" w:cs="Arial"/>
        </w:rPr>
        <w:t xml:space="preserve">Inexistencia </w:t>
      </w:r>
      <w:r w:rsidR="00400BDF" w:rsidRPr="00400BDF">
        <w:rPr>
          <w:rFonts w:ascii="Palatino Linotype" w:hAnsi="Palatino Linotype" w:cs="Arial"/>
        </w:rPr>
        <w:t>debidamente fundado y motivado en el que explique los detalles del por qué no obran en sus archivos.</w:t>
      </w:r>
    </w:p>
    <w:p w14:paraId="3C829F63" w14:textId="77777777" w:rsidR="009C0013" w:rsidRPr="00E057D8" w:rsidRDefault="009C0013" w:rsidP="00E057D8">
      <w:pPr>
        <w:spacing w:line="360" w:lineRule="auto"/>
        <w:jc w:val="both"/>
        <w:rPr>
          <w:rFonts w:ascii="Palatino Linotype" w:hAnsi="Palatino Linotype" w:cs="Arial"/>
          <w:lang w:val="es-MX"/>
        </w:rPr>
      </w:pPr>
    </w:p>
    <w:p w14:paraId="4037788E" w14:textId="1BC7BBBA" w:rsidR="001F5EE8" w:rsidRDefault="00C766EF" w:rsidP="00C62B1F">
      <w:pPr>
        <w:spacing w:line="360" w:lineRule="auto"/>
        <w:jc w:val="both"/>
        <w:rPr>
          <w:rFonts w:ascii="Palatino Linotype" w:hAnsi="Palatino Linotype" w:cs="Arial"/>
          <w:lang w:val="es-MX"/>
        </w:rPr>
      </w:pPr>
      <w:r w:rsidRPr="00E057D8">
        <w:rPr>
          <w:rFonts w:ascii="Palatino Linotype" w:hAnsi="Palatino Linotype" w:cs="Arial"/>
          <w:lang w:val="es-MX"/>
        </w:rPr>
        <w:lastRenderedPageBreak/>
        <w:t>En ese sentido, la que suscribe reitera, que si bien coincid</w:t>
      </w:r>
      <w:r w:rsidR="006A0D56" w:rsidRPr="00E057D8">
        <w:rPr>
          <w:rFonts w:ascii="Palatino Linotype" w:hAnsi="Palatino Linotype" w:cs="Arial"/>
          <w:lang w:val="es-MX"/>
        </w:rPr>
        <w:t>o</w:t>
      </w:r>
      <w:r w:rsidRPr="00E057D8">
        <w:rPr>
          <w:rFonts w:ascii="Palatino Linotype" w:hAnsi="Palatino Linotype" w:cs="Arial"/>
          <w:lang w:val="es-MX"/>
        </w:rPr>
        <w:t xml:space="preserve"> en términos generales en el estudio de la resolución en comento, dif</w:t>
      </w:r>
      <w:r w:rsidR="006A0D56" w:rsidRPr="00E057D8">
        <w:rPr>
          <w:rFonts w:ascii="Palatino Linotype" w:hAnsi="Palatino Linotype" w:cs="Arial"/>
          <w:lang w:val="es-MX"/>
        </w:rPr>
        <w:t>iero</w:t>
      </w:r>
      <w:r w:rsidRPr="00E057D8">
        <w:rPr>
          <w:rFonts w:ascii="Palatino Linotype" w:hAnsi="Palatino Linotype" w:cs="Arial"/>
          <w:lang w:val="es-MX"/>
        </w:rPr>
        <w:t xml:space="preserve"> respecto al hecho de</w:t>
      </w:r>
      <w:r w:rsidR="001D3F57" w:rsidRPr="00E057D8">
        <w:rPr>
          <w:rFonts w:ascii="Palatino Linotype" w:hAnsi="Palatino Linotype" w:cs="Arial"/>
          <w:lang w:val="es-MX"/>
        </w:rPr>
        <w:t xml:space="preserve"> </w:t>
      </w:r>
      <w:r w:rsidR="00E96710" w:rsidRPr="00E057D8">
        <w:rPr>
          <w:rFonts w:ascii="Palatino Linotype" w:hAnsi="Palatino Linotype" w:cs="Arial"/>
          <w:lang w:val="es-MX"/>
        </w:rPr>
        <w:t xml:space="preserve">ordenar el </w:t>
      </w:r>
      <w:r w:rsidR="001F5EE8" w:rsidRPr="00E057D8">
        <w:rPr>
          <w:rFonts w:ascii="Palatino Linotype" w:hAnsi="Palatino Linotype" w:cs="Arial"/>
          <w:lang w:val="es-MX"/>
        </w:rPr>
        <w:t>A</w:t>
      </w:r>
      <w:r w:rsidR="00C62B1F">
        <w:rPr>
          <w:rFonts w:ascii="Palatino Linotype" w:hAnsi="Palatino Linotype" w:cs="Arial"/>
          <w:lang w:val="es-MX"/>
        </w:rPr>
        <w:t xml:space="preserve">cuerdo de Inexistencia de la información, en virtud de que dejó de observarse lo dispuesto por el </w:t>
      </w:r>
      <w:r w:rsidR="00C62B1F" w:rsidRPr="00C62B1F">
        <w:rPr>
          <w:rFonts w:ascii="Palatino Linotype" w:hAnsi="Palatino Linotype" w:cs="Arial"/>
          <w:lang w:val="es-MX"/>
        </w:rPr>
        <w:t>Manual de Normas y Políticas para el Gasto P</w:t>
      </w:r>
      <w:r w:rsidR="00FD5BAF">
        <w:rPr>
          <w:rFonts w:ascii="Palatino Linotype" w:hAnsi="Palatino Linotype" w:cs="Arial"/>
          <w:lang w:val="es-MX"/>
        </w:rPr>
        <w:t>ú</w:t>
      </w:r>
      <w:r w:rsidR="00C62B1F" w:rsidRPr="00C62B1F">
        <w:rPr>
          <w:rFonts w:ascii="Palatino Linotype" w:hAnsi="Palatino Linotype" w:cs="Arial"/>
          <w:lang w:val="es-MX"/>
        </w:rPr>
        <w:t>blico</w:t>
      </w:r>
      <w:r w:rsidR="00C62B1F">
        <w:rPr>
          <w:rFonts w:ascii="Palatino Linotype" w:hAnsi="Palatino Linotype" w:cs="Arial"/>
          <w:lang w:val="es-MX"/>
        </w:rPr>
        <w:t xml:space="preserve"> </w:t>
      </w:r>
      <w:r w:rsidR="00C62B1F" w:rsidRPr="00C62B1F">
        <w:rPr>
          <w:rFonts w:ascii="Palatino Linotype" w:hAnsi="Palatino Linotype" w:cs="Arial"/>
          <w:lang w:val="es-MX"/>
        </w:rPr>
        <w:t xml:space="preserve">del Gobierno del Estado de </w:t>
      </w:r>
      <w:r w:rsidR="00C62B1F">
        <w:rPr>
          <w:rFonts w:ascii="Palatino Linotype" w:hAnsi="Palatino Linotype" w:cs="Arial"/>
          <w:lang w:val="es-MX"/>
        </w:rPr>
        <w:t>México, pues si bien es cierto que conforme a la facultades y atribuciones de la Dirección General de Recursos Materiales de la Secretaría de Finanzas</w:t>
      </w:r>
      <w:r w:rsidR="00FD5BAF">
        <w:rPr>
          <w:rFonts w:ascii="Palatino Linotype" w:hAnsi="Palatino Linotype" w:cs="Arial"/>
          <w:lang w:val="es-MX"/>
        </w:rPr>
        <w:t>,</w:t>
      </w:r>
      <w:r w:rsidR="00C62B1F">
        <w:rPr>
          <w:rFonts w:ascii="Palatino Linotype" w:hAnsi="Palatino Linotype" w:cs="Arial"/>
          <w:lang w:val="es-MX"/>
        </w:rPr>
        <w:t xml:space="preserve"> así como de las constancias remitidas mediante Informe Justificado, fue ésta área quien funge como contratante en los documentos requeridos por el particular; ello no implica que por tal motivo cuente con los documentos que sustenten el ejercicio del gasto, ya que esta es una facultad propia de las Unidades Ejecutoras del Gasto, que para el caso en particular corresponde a la Coordinación Administrativa de la Secretaría de Cultura, tal y como lo dispone el manual en cita en su artículo 65 que se transcribe a continuación:</w:t>
      </w:r>
    </w:p>
    <w:p w14:paraId="7DC8842E" w14:textId="77777777" w:rsidR="00C62B1F" w:rsidRDefault="00C62B1F" w:rsidP="00C62B1F">
      <w:pPr>
        <w:spacing w:line="360" w:lineRule="auto"/>
        <w:jc w:val="both"/>
        <w:rPr>
          <w:rFonts w:ascii="Palatino Linotype" w:hAnsi="Palatino Linotype" w:cs="Arial"/>
          <w:lang w:val="es-MX"/>
        </w:rPr>
      </w:pPr>
    </w:p>
    <w:p w14:paraId="4B6AC738" w14:textId="2528D00D" w:rsidR="00C62B1F" w:rsidRDefault="009B7F80" w:rsidP="009B7F80">
      <w:pPr>
        <w:ind w:left="709" w:right="757"/>
        <w:jc w:val="both"/>
        <w:rPr>
          <w:rFonts w:ascii="Palatino Linotype" w:hAnsi="Palatino Linotype" w:cs="Arial"/>
          <w:i/>
          <w:sz w:val="22"/>
          <w:szCs w:val="22"/>
          <w:lang w:val="es-MX"/>
        </w:rPr>
      </w:pPr>
      <w:r>
        <w:rPr>
          <w:rFonts w:ascii="Palatino Linotype" w:hAnsi="Palatino Linotype" w:cs="Arial"/>
          <w:i/>
          <w:sz w:val="22"/>
          <w:szCs w:val="22"/>
          <w:lang w:val="es-MX"/>
        </w:rPr>
        <w:t>“</w:t>
      </w:r>
      <w:r w:rsidR="00C62B1F" w:rsidRPr="009B7F80">
        <w:rPr>
          <w:rFonts w:ascii="Palatino Linotype" w:hAnsi="Palatino Linotype" w:cs="Arial"/>
          <w:b/>
          <w:i/>
          <w:sz w:val="22"/>
          <w:szCs w:val="22"/>
          <w:lang w:val="es-MX"/>
        </w:rPr>
        <w:t>ARTICULO 65</w:t>
      </w:r>
      <w:r w:rsidR="00C62B1F" w:rsidRPr="00C62B1F">
        <w:rPr>
          <w:rFonts w:ascii="Palatino Linotype" w:hAnsi="Palatino Linotype" w:cs="Arial"/>
          <w:i/>
          <w:sz w:val="22"/>
          <w:szCs w:val="22"/>
          <w:lang w:val="es-MX"/>
        </w:rPr>
        <w:t xml:space="preserve">.- Los requisitos para </w:t>
      </w:r>
      <w:r>
        <w:rPr>
          <w:rFonts w:ascii="Palatino Linotype" w:hAnsi="Palatino Linotype" w:cs="Arial"/>
          <w:i/>
          <w:sz w:val="22"/>
          <w:szCs w:val="22"/>
          <w:lang w:val="es-MX"/>
        </w:rPr>
        <w:t xml:space="preserve">llevar </w:t>
      </w:r>
      <w:r w:rsidR="00C62B1F" w:rsidRPr="00C62B1F">
        <w:rPr>
          <w:rFonts w:ascii="Palatino Linotype" w:hAnsi="Palatino Linotype" w:cs="Arial"/>
          <w:i/>
          <w:sz w:val="22"/>
          <w:szCs w:val="22"/>
          <w:lang w:val="es-MX"/>
        </w:rPr>
        <w:t>a cabo la afectación presupuestal de las dependencias y entidades públicas son los</w:t>
      </w:r>
      <w:r w:rsidR="00C62B1F">
        <w:rPr>
          <w:rFonts w:ascii="Palatino Linotype" w:hAnsi="Palatino Linotype" w:cs="Arial"/>
          <w:i/>
          <w:sz w:val="22"/>
          <w:szCs w:val="22"/>
          <w:lang w:val="es-MX"/>
        </w:rPr>
        <w:t xml:space="preserve"> </w:t>
      </w:r>
      <w:r w:rsidR="00C62B1F" w:rsidRPr="00C62B1F">
        <w:rPr>
          <w:rFonts w:ascii="Palatino Linotype" w:hAnsi="Palatino Linotype" w:cs="Arial"/>
          <w:i/>
          <w:sz w:val="22"/>
          <w:szCs w:val="22"/>
          <w:lang w:val="es-MX"/>
        </w:rPr>
        <w:t>siguientes:</w:t>
      </w:r>
    </w:p>
    <w:p w14:paraId="0421C217" w14:textId="77777777" w:rsidR="00C62B1F" w:rsidRPr="00C62B1F" w:rsidRDefault="00C62B1F" w:rsidP="009B7F80">
      <w:pPr>
        <w:ind w:left="1276" w:right="757" w:hanging="567"/>
        <w:jc w:val="both"/>
        <w:rPr>
          <w:rFonts w:ascii="Palatino Linotype" w:hAnsi="Palatino Linotype" w:cs="Arial"/>
          <w:i/>
          <w:sz w:val="22"/>
          <w:szCs w:val="22"/>
          <w:lang w:val="es-MX"/>
        </w:rPr>
      </w:pPr>
    </w:p>
    <w:p w14:paraId="68BB7E3B" w14:textId="77777777" w:rsidR="00C62B1F" w:rsidRDefault="00C62B1F" w:rsidP="009B7F80">
      <w:pPr>
        <w:pStyle w:val="Prrafodelista"/>
        <w:numPr>
          <w:ilvl w:val="0"/>
          <w:numId w:val="18"/>
        </w:numPr>
        <w:ind w:left="1276" w:right="757" w:hanging="567"/>
        <w:jc w:val="both"/>
        <w:rPr>
          <w:rFonts w:ascii="Palatino Linotype" w:hAnsi="Palatino Linotype" w:cs="Arial"/>
          <w:b/>
          <w:i/>
          <w:sz w:val="22"/>
          <w:szCs w:val="22"/>
          <w:lang w:val="es-MX"/>
        </w:rPr>
      </w:pPr>
      <w:r w:rsidRPr="009B7F80">
        <w:rPr>
          <w:rFonts w:ascii="Palatino Linotype" w:hAnsi="Palatino Linotype" w:cs="Arial"/>
          <w:b/>
          <w:i/>
          <w:sz w:val="22"/>
          <w:szCs w:val="22"/>
          <w:lang w:val="es-MX"/>
        </w:rPr>
        <w:t>En la adquisición de bienes y/o servicios, el titular de la unidad ejecutora deberá observar lo establecido en el Presupuesto, Libro Décimo Tercero del Código Administrativo y las disposiciones administrativas que al respecto se emitan, e invariablemente deberá contar con suficiencia presupuestaria;</w:t>
      </w:r>
    </w:p>
    <w:p w14:paraId="509FA826" w14:textId="77777777" w:rsidR="00AF1166" w:rsidRPr="00AF1166" w:rsidRDefault="00AF1166" w:rsidP="00AF1166">
      <w:pPr>
        <w:ind w:right="757"/>
        <w:jc w:val="both"/>
        <w:rPr>
          <w:rFonts w:ascii="Palatino Linotype" w:hAnsi="Palatino Linotype" w:cs="Arial"/>
          <w:b/>
          <w:i/>
          <w:sz w:val="22"/>
          <w:szCs w:val="22"/>
          <w:lang w:val="es-MX"/>
        </w:rPr>
      </w:pPr>
    </w:p>
    <w:p w14:paraId="71356D1A" w14:textId="77777777" w:rsidR="00C62B1F"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C62B1F">
        <w:rPr>
          <w:rFonts w:ascii="Palatino Linotype" w:hAnsi="Palatino Linotype" w:cs="Arial"/>
          <w:i/>
          <w:sz w:val="22"/>
          <w:szCs w:val="22"/>
          <w:lang w:val="es-MX"/>
        </w:rPr>
        <w:t>La solicitud de adquisición de bienes y servicios, es el documento para iniciar los trámites para ejercer recursos autorizados en los capítulos de gasto 2000 Materiales y Suministros, 3000 Servicios Generales y 5000 Bienes Muebles e Inmuebles, en cuyo caso, el responsable de la ejecución y control del presupuesto, deberá validar la suficiencia presupuestaria respectiva y registrar el compromiso de dichos recursos;</w:t>
      </w:r>
    </w:p>
    <w:p w14:paraId="56335CC1" w14:textId="377BEEAB" w:rsidR="00C62B1F"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C62B1F">
        <w:rPr>
          <w:rFonts w:ascii="Palatino Linotype" w:hAnsi="Palatino Linotype" w:cs="Arial"/>
          <w:i/>
          <w:sz w:val="22"/>
          <w:szCs w:val="22"/>
          <w:lang w:val="es-MX"/>
        </w:rPr>
        <w:lastRenderedPageBreak/>
        <w:t xml:space="preserve">En la celebración de contratos que generen obligaciones a las dependencias y tribunales administrativos deberán ser suscritos por el Coordinador Administrativo o equivalente, por la contraparte o su representante legal y se </w:t>
      </w:r>
      <w:r w:rsidR="009B7F80">
        <w:rPr>
          <w:rFonts w:ascii="Palatino Linotype" w:hAnsi="Palatino Linotype" w:cs="Arial"/>
          <w:i/>
          <w:sz w:val="22"/>
          <w:szCs w:val="22"/>
          <w:lang w:val="es-MX"/>
        </w:rPr>
        <w:t>deberá obser</w:t>
      </w:r>
      <w:r w:rsidRPr="00C62B1F">
        <w:rPr>
          <w:rFonts w:ascii="Palatino Linotype" w:hAnsi="Palatino Linotype" w:cs="Arial"/>
          <w:i/>
          <w:sz w:val="22"/>
          <w:szCs w:val="22"/>
          <w:lang w:val="es-MX"/>
        </w:rPr>
        <w:t>var lo dispuesto en el Código, el Presupuesto y demás normatividad aplicable en la materia.</w:t>
      </w:r>
    </w:p>
    <w:p w14:paraId="2CDA4167" w14:textId="77777777" w:rsidR="00C62B1F" w:rsidRPr="00C62B1F" w:rsidRDefault="00C62B1F" w:rsidP="009B7F80">
      <w:pPr>
        <w:pStyle w:val="Prrafodelista"/>
        <w:ind w:left="1276" w:right="757" w:hanging="567"/>
        <w:jc w:val="both"/>
        <w:rPr>
          <w:rFonts w:ascii="Palatino Linotype" w:hAnsi="Palatino Linotype" w:cs="Arial"/>
          <w:i/>
          <w:sz w:val="22"/>
          <w:szCs w:val="22"/>
          <w:lang w:val="es-MX"/>
        </w:rPr>
      </w:pPr>
    </w:p>
    <w:p w14:paraId="37DBD91E" w14:textId="29C872A7" w:rsidR="00C62B1F" w:rsidRPr="00C62B1F" w:rsidRDefault="00C62B1F" w:rsidP="009B7F80">
      <w:pPr>
        <w:ind w:left="1276" w:right="757"/>
        <w:jc w:val="both"/>
        <w:rPr>
          <w:rFonts w:ascii="Palatino Linotype" w:hAnsi="Palatino Linotype" w:cs="Arial"/>
          <w:i/>
          <w:sz w:val="22"/>
          <w:szCs w:val="22"/>
          <w:lang w:val="es-MX"/>
        </w:rPr>
      </w:pPr>
      <w:r w:rsidRPr="00C62B1F">
        <w:rPr>
          <w:rFonts w:ascii="Palatino Linotype" w:hAnsi="Palatino Linotype" w:cs="Arial"/>
          <w:i/>
          <w:sz w:val="22"/>
          <w:szCs w:val="22"/>
          <w:lang w:val="es-MX"/>
        </w:rPr>
        <w:t>Tratándose de compras consolidadas, los contratos que se</w:t>
      </w:r>
      <w:r w:rsidR="009B7F80">
        <w:rPr>
          <w:rFonts w:ascii="Palatino Linotype" w:hAnsi="Palatino Linotype" w:cs="Arial"/>
          <w:i/>
          <w:sz w:val="22"/>
          <w:szCs w:val="22"/>
          <w:lang w:val="es-MX"/>
        </w:rPr>
        <w:t xml:space="preserve"> generen serán suscritos por el </w:t>
      </w:r>
      <w:r w:rsidRPr="00C62B1F">
        <w:rPr>
          <w:rFonts w:ascii="Palatino Linotype" w:hAnsi="Palatino Linotype" w:cs="Arial"/>
          <w:i/>
          <w:sz w:val="22"/>
          <w:szCs w:val="22"/>
          <w:lang w:val="es-MX"/>
        </w:rPr>
        <w:t>titular de la unidad</w:t>
      </w:r>
      <w:r>
        <w:rPr>
          <w:rFonts w:ascii="Palatino Linotype" w:hAnsi="Palatino Linotype" w:cs="Arial"/>
          <w:i/>
          <w:sz w:val="22"/>
          <w:szCs w:val="22"/>
          <w:lang w:val="es-MX"/>
        </w:rPr>
        <w:t xml:space="preserve"> </w:t>
      </w:r>
      <w:r w:rsidRPr="00C62B1F">
        <w:rPr>
          <w:rFonts w:ascii="Palatino Linotype" w:hAnsi="Palatino Linotype" w:cs="Arial"/>
          <w:i/>
          <w:sz w:val="22"/>
          <w:szCs w:val="22"/>
          <w:lang w:val="es-MX"/>
        </w:rPr>
        <w:t>administrativa de la Secretaría encargada de operar el sistema de</w:t>
      </w:r>
      <w:r w:rsidR="009B7F80">
        <w:rPr>
          <w:rFonts w:ascii="Palatino Linotype" w:hAnsi="Palatino Linotype" w:cs="Arial"/>
          <w:i/>
          <w:sz w:val="22"/>
          <w:szCs w:val="22"/>
          <w:lang w:val="es-MX"/>
        </w:rPr>
        <w:t xml:space="preserve"> </w:t>
      </w:r>
      <w:r w:rsidRPr="00C62B1F">
        <w:rPr>
          <w:rFonts w:ascii="Palatino Linotype" w:hAnsi="Palatino Linotype" w:cs="Arial"/>
          <w:i/>
          <w:sz w:val="22"/>
          <w:szCs w:val="22"/>
          <w:lang w:val="es-MX"/>
        </w:rPr>
        <w:t>compras consolidadas de las dependencias y</w:t>
      </w:r>
      <w:r>
        <w:rPr>
          <w:rFonts w:ascii="Palatino Linotype" w:hAnsi="Palatino Linotype" w:cs="Arial"/>
          <w:i/>
          <w:sz w:val="22"/>
          <w:szCs w:val="22"/>
          <w:lang w:val="es-MX"/>
        </w:rPr>
        <w:t xml:space="preserve"> </w:t>
      </w:r>
      <w:r w:rsidRPr="00C62B1F">
        <w:rPr>
          <w:rFonts w:ascii="Palatino Linotype" w:hAnsi="Palatino Linotype" w:cs="Arial"/>
          <w:i/>
          <w:sz w:val="22"/>
          <w:szCs w:val="22"/>
          <w:lang w:val="es-MX"/>
        </w:rPr>
        <w:t xml:space="preserve">tribunales </w:t>
      </w:r>
      <w:r w:rsidR="009B7F80">
        <w:rPr>
          <w:rFonts w:ascii="Palatino Linotype" w:hAnsi="Palatino Linotype" w:cs="Arial"/>
          <w:i/>
          <w:sz w:val="22"/>
          <w:szCs w:val="22"/>
          <w:lang w:val="es-MX"/>
        </w:rPr>
        <w:t>administrativos del poder e</w:t>
      </w:r>
      <w:r w:rsidRPr="00C62B1F">
        <w:rPr>
          <w:rFonts w:ascii="Palatino Linotype" w:hAnsi="Palatino Linotype" w:cs="Arial"/>
          <w:i/>
          <w:sz w:val="22"/>
          <w:szCs w:val="22"/>
          <w:lang w:val="es-MX"/>
        </w:rPr>
        <w:t>jecutivo.</w:t>
      </w:r>
    </w:p>
    <w:p w14:paraId="63B27A14" w14:textId="77777777" w:rsidR="00675A49" w:rsidRDefault="00675A49" w:rsidP="009B7F80">
      <w:pPr>
        <w:ind w:left="1276" w:right="757" w:hanging="567"/>
        <w:jc w:val="both"/>
        <w:rPr>
          <w:rFonts w:ascii="Palatino Linotype" w:hAnsi="Palatino Linotype" w:cs="Arial"/>
          <w:i/>
          <w:sz w:val="22"/>
          <w:szCs w:val="22"/>
          <w:lang w:val="es-MX"/>
        </w:rPr>
      </w:pPr>
    </w:p>
    <w:p w14:paraId="08251B29" w14:textId="77777777" w:rsidR="00C62B1F" w:rsidRDefault="00C62B1F" w:rsidP="009B7F80">
      <w:pPr>
        <w:ind w:left="1276" w:right="757"/>
        <w:jc w:val="both"/>
        <w:rPr>
          <w:rFonts w:ascii="Palatino Linotype" w:hAnsi="Palatino Linotype" w:cs="Arial"/>
          <w:i/>
          <w:sz w:val="22"/>
          <w:szCs w:val="22"/>
          <w:lang w:val="es-MX"/>
        </w:rPr>
      </w:pPr>
      <w:r w:rsidRPr="00C62B1F">
        <w:rPr>
          <w:rFonts w:ascii="Palatino Linotype" w:hAnsi="Palatino Linotype" w:cs="Arial"/>
          <w:i/>
          <w:sz w:val="22"/>
          <w:szCs w:val="22"/>
          <w:lang w:val="es-MX"/>
        </w:rPr>
        <w:t>Para el caso de las entidades públicas lo hará el servidor público facultado para ello;</w:t>
      </w:r>
    </w:p>
    <w:p w14:paraId="0D648865" w14:textId="77777777" w:rsidR="00AF1166" w:rsidRDefault="00AF1166" w:rsidP="009B7F80">
      <w:pPr>
        <w:ind w:left="1276" w:right="757"/>
        <w:jc w:val="both"/>
        <w:rPr>
          <w:rFonts w:ascii="Palatino Linotype" w:hAnsi="Palatino Linotype" w:cs="Arial"/>
          <w:i/>
          <w:sz w:val="22"/>
          <w:szCs w:val="22"/>
          <w:lang w:val="es-MX"/>
        </w:rPr>
      </w:pPr>
    </w:p>
    <w:p w14:paraId="41DE339A" w14:textId="77777777" w:rsidR="00675A49"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675A49">
        <w:rPr>
          <w:rFonts w:ascii="Palatino Linotype" w:hAnsi="Palatino Linotype" w:cs="Arial"/>
          <w:i/>
          <w:sz w:val="22"/>
          <w:szCs w:val="22"/>
          <w:lang w:val="es-MX"/>
        </w:rPr>
        <w:t>En el caso de cualquier movimiento e incidencia de personal que afecte recursos presupuestarios, se deberá</w:t>
      </w:r>
      <w:r w:rsidR="00675A49" w:rsidRPr="00675A49">
        <w:rPr>
          <w:rFonts w:ascii="Palatino Linotype" w:hAnsi="Palatino Linotype" w:cs="Arial"/>
          <w:i/>
          <w:sz w:val="22"/>
          <w:szCs w:val="22"/>
          <w:lang w:val="es-MX"/>
        </w:rPr>
        <w:t xml:space="preserve"> </w:t>
      </w:r>
      <w:r w:rsidRPr="00675A49">
        <w:rPr>
          <w:rFonts w:ascii="Palatino Linotype" w:hAnsi="Palatino Linotype" w:cs="Arial"/>
          <w:i/>
          <w:sz w:val="22"/>
          <w:szCs w:val="22"/>
          <w:lang w:val="es-MX"/>
        </w:rPr>
        <w:t>asignar la clave presupuestaria correspondiente;</w:t>
      </w:r>
    </w:p>
    <w:p w14:paraId="64D13A01" w14:textId="77777777" w:rsidR="00AF1166" w:rsidRDefault="00AF1166" w:rsidP="00AF1166">
      <w:pPr>
        <w:pStyle w:val="Prrafodelista"/>
        <w:ind w:left="1276" w:right="757"/>
        <w:jc w:val="both"/>
        <w:rPr>
          <w:rFonts w:ascii="Palatino Linotype" w:hAnsi="Palatino Linotype" w:cs="Arial"/>
          <w:i/>
          <w:sz w:val="22"/>
          <w:szCs w:val="22"/>
          <w:lang w:val="es-MX"/>
        </w:rPr>
      </w:pPr>
    </w:p>
    <w:p w14:paraId="25C3482F" w14:textId="3B89E1E7" w:rsidR="00C62B1F"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675A49">
        <w:rPr>
          <w:rFonts w:ascii="Palatino Linotype" w:hAnsi="Palatino Linotype" w:cs="Arial"/>
          <w:i/>
          <w:sz w:val="22"/>
          <w:szCs w:val="22"/>
          <w:lang w:val="es-MX"/>
        </w:rPr>
        <w:t>Para la afectación del capítulo 1000 servicios personales de las dependencias y tribunales administrativos, la</w:t>
      </w:r>
      <w:r w:rsidR="00675A49" w:rsidRPr="00675A49">
        <w:rPr>
          <w:rFonts w:ascii="Palatino Linotype" w:hAnsi="Palatino Linotype" w:cs="Arial"/>
          <w:i/>
          <w:sz w:val="22"/>
          <w:szCs w:val="22"/>
          <w:lang w:val="es-MX"/>
        </w:rPr>
        <w:t xml:space="preserve"> </w:t>
      </w:r>
      <w:r w:rsidRPr="00675A49">
        <w:rPr>
          <w:rFonts w:ascii="Palatino Linotype" w:hAnsi="Palatino Linotype" w:cs="Arial"/>
          <w:i/>
          <w:sz w:val="22"/>
          <w:szCs w:val="22"/>
          <w:lang w:val="es-MX"/>
        </w:rPr>
        <w:t>Dirección General de Personal enviará quincenalmente a la unidad de apoyo administrativo de la unidad</w:t>
      </w:r>
      <w:r w:rsidR="00675A49" w:rsidRPr="00675A49">
        <w:rPr>
          <w:rFonts w:ascii="Palatino Linotype" w:hAnsi="Palatino Linotype" w:cs="Arial"/>
          <w:i/>
          <w:sz w:val="22"/>
          <w:szCs w:val="22"/>
          <w:lang w:val="es-MX"/>
        </w:rPr>
        <w:t xml:space="preserve"> </w:t>
      </w:r>
      <w:r w:rsidRPr="00675A49">
        <w:rPr>
          <w:rFonts w:ascii="Palatino Linotype" w:hAnsi="Palatino Linotype" w:cs="Arial"/>
          <w:i/>
          <w:sz w:val="22"/>
          <w:szCs w:val="22"/>
          <w:lang w:val="es-MX"/>
        </w:rPr>
        <w:t>responsable, un reporte sobre el pago de la nómina por unidad ejecutora.</w:t>
      </w:r>
    </w:p>
    <w:p w14:paraId="33AC20D4" w14:textId="77777777" w:rsidR="00675A49" w:rsidRPr="00675A49" w:rsidRDefault="00675A49" w:rsidP="009B7F80">
      <w:pPr>
        <w:pStyle w:val="Prrafodelista"/>
        <w:ind w:left="1276" w:right="757" w:hanging="567"/>
        <w:jc w:val="both"/>
        <w:rPr>
          <w:rFonts w:ascii="Palatino Linotype" w:hAnsi="Palatino Linotype" w:cs="Arial"/>
          <w:i/>
          <w:sz w:val="22"/>
          <w:szCs w:val="22"/>
          <w:lang w:val="es-MX"/>
        </w:rPr>
      </w:pPr>
    </w:p>
    <w:p w14:paraId="6A6ABBFA" w14:textId="1C912C48" w:rsidR="00C62B1F" w:rsidRDefault="00C62B1F" w:rsidP="009B7F80">
      <w:pPr>
        <w:ind w:left="1276" w:right="757"/>
        <w:jc w:val="both"/>
        <w:rPr>
          <w:rFonts w:ascii="Palatino Linotype" w:hAnsi="Palatino Linotype" w:cs="Arial"/>
          <w:i/>
          <w:sz w:val="22"/>
          <w:szCs w:val="22"/>
          <w:lang w:val="es-MX"/>
        </w:rPr>
      </w:pPr>
      <w:r w:rsidRPr="00C62B1F">
        <w:rPr>
          <w:rFonts w:ascii="Palatino Linotype" w:hAnsi="Palatino Linotype" w:cs="Arial"/>
          <w:i/>
          <w:sz w:val="22"/>
          <w:szCs w:val="22"/>
          <w:lang w:val="es-MX"/>
        </w:rPr>
        <w:t>Para el caso de las entidades públicas el área de recursos humanos será la responsable de entregar</w:t>
      </w:r>
      <w:r w:rsidR="00675A49">
        <w:rPr>
          <w:rFonts w:ascii="Palatino Linotype" w:hAnsi="Palatino Linotype" w:cs="Arial"/>
          <w:i/>
          <w:sz w:val="22"/>
          <w:szCs w:val="22"/>
          <w:lang w:val="es-MX"/>
        </w:rPr>
        <w:t xml:space="preserve"> </w:t>
      </w:r>
      <w:r w:rsidRPr="00C62B1F">
        <w:rPr>
          <w:rFonts w:ascii="Palatino Linotype" w:hAnsi="Palatino Linotype" w:cs="Arial"/>
          <w:i/>
          <w:sz w:val="22"/>
          <w:szCs w:val="22"/>
          <w:lang w:val="es-MX"/>
        </w:rPr>
        <w:t>oportunamente el reporte de pago por unidad ejecutora al área de contabilidad de la propia entidad pública;</w:t>
      </w:r>
    </w:p>
    <w:p w14:paraId="49AB127C" w14:textId="77777777" w:rsidR="00AF1166" w:rsidRDefault="00AF1166" w:rsidP="009B7F80">
      <w:pPr>
        <w:ind w:left="1276" w:right="757"/>
        <w:jc w:val="both"/>
        <w:rPr>
          <w:rFonts w:ascii="Palatino Linotype" w:hAnsi="Palatino Linotype" w:cs="Arial"/>
          <w:i/>
          <w:sz w:val="22"/>
          <w:szCs w:val="22"/>
          <w:lang w:val="es-MX"/>
        </w:rPr>
      </w:pPr>
    </w:p>
    <w:p w14:paraId="47480BE5" w14:textId="77777777" w:rsidR="009B7F80" w:rsidRDefault="00C62B1F" w:rsidP="009B7F80">
      <w:pPr>
        <w:pStyle w:val="Prrafodelista"/>
        <w:numPr>
          <w:ilvl w:val="0"/>
          <w:numId w:val="18"/>
        </w:numPr>
        <w:ind w:left="1276" w:right="757" w:hanging="567"/>
        <w:jc w:val="both"/>
        <w:rPr>
          <w:rFonts w:ascii="Palatino Linotype" w:hAnsi="Palatino Linotype" w:cs="Arial"/>
          <w:b/>
          <w:i/>
          <w:sz w:val="22"/>
          <w:szCs w:val="22"/>
          <w:lang w:val="es-MX"/>
        </w:rPr>
      </w:pPr>
      <w:r w:rsidRPr="009B7F80">
        <w:rPr>
          <w:rFonts w:ascii="Palatino Linotype" w:hAnsi="Palatino Linotype" w:cs="Arial"/>
          <w:b/>
          <w:i/>
          <w:sz w:val="22"/>
          <w:szCs w:val="22"/>
          <w:lang w:val="es-MX"/>
        </w:rPr>
        <w:t>La unidad de apoyo administrativo de la unidad responsable, enviará a cada unidad ejecutora dependiente, el</w:t>
      </w:r>
      <w:r w:rsidR="00675A49"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reporte del ejercicio presupuestal por el pago de servicios personales, para que registren el gasto a nivel de</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partida de gasto, centro de costo, proyecto y región;</w:t>
      </w:r>
    </w:p>
    <w:p w14:paraId="42F0EE19" w14:textId="77777777" w:rsidR="00AF1166" w:rsidRPr="009B7F80" w:rsidRDefault="00AF1166" w:rsidP="00AF1166">
      <w:pPr>
        <w:pStyle w:val="Prrafodelista"/>
        <w:ind w:left="1276" w:right="757"/>
        <w:jc w:val="both"/>
        <w:rPr>
          <w:rFonts w:ascii="Palatino Linotype" w:hAnsi="Palatino Linotype" w:cs="Arial"/>
          <w:b/>
          <w:i/>
          <w:sz w:val="22"/>
          <w:szCs w:val="22"/>
          <w:lang w:val="es-MX"/>
        </w:rPr>
      </w:pPr>
    </w:p>
    <w:p w14:paraId="6421FEB8" w14:textId="77777777" w:rsidR="009B7F80"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9B7F80">
        <w:rPr>
          <w:rFonts w:ascii="Palatino Linotype" w:hAnsi="Palatino Linotype" w:cs="Arial"/>
          <w:i/>
          <w:sz w:val="22"/>
          <w:szCs w:val="22"/>
          <w:lang w:val="es-MX"/>
        </w:rPr>
        <w:t>Los contratos por la prestación de set-vicios profesionales y técnicos, deberán sujetarse a lo establecido en la</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normatividad aplicable en la materia;</w:t>
      </w:r>
      <w:r w:rsidR="009B7F80" w:rsidRPr="009B7F80">
        <w:rPr>
          <w:rFonts w:ascii="Palatino Linotype" w:hAnsi="Palatino Linotype" w:cs="Arial"/>
          <w:i/>
          <w:sz w:val="22"/>
          <w:szCs w:val="22"/>
          <w:lang w:val="es-MX"/>
        </w:rPr>
        <w:t xml:space="preserve"> </w:t>
      </w:r>
    </w:p>
    <w:p w14:paraId="2FEB00C3" w14:textId="77777777" w:rsidR="00AF1166" w:rsidRPr="00AF1166" w:rsidRDefault="00AF1166" w:rsidP="00AF1166">
      <w:pPr>
        <w:ind w:right="757"/>
        <w:jc w:val="both"/>
        <w:rPr>
          <w:rFonts w:ascii="Palatino Linotype" w:hAnsi="Palatino Linotype" w:cs="Arial"/>
          <w:i/>
          <w:sz w:val="22"/>
          <w:szCs w:val="22"/>
          <w:lang w:val="es-MX"/>
        </w:rPr>
      </w:pPr>
    </w:p>
    <w:p w14:paraId="1C57D1EA" w14:textId="0F9CF732" w:rsidR="009B7F80" w:rsidRDefault="00C62B1F" w:rsidP="009D52F8">
      <w:pPr>
        <w:pStyle w:val="Prrafodelista"/>
        <w:numPr>
          <w:ilvl w:val="0"/>
          <w:numId w:val="18"/>
        </w:numPr>
        <w:ind w:left="1276" w:right="757" w:hanging="567"/>
        <w:jc w:val="both"/>
        <w:rPr>
          <w:rFonts w:ascii="Palatino Linotype" w:hAnsi="Palatino Linotype" w:cs="Arial"/>
          <w:i/>
          <w:sz w:val="22"/>
          <w:szCs w:val="22"/>
          <w:lang w:val="es-MX"/>
        </w:rPr>
      </w:pPr>
      <w:r w:rsidRPr="009B7F80">
        <w:rPr>
          <w:rFonts w:ascii="Palatino Linotype" w:hAnsi="Palatino Linotype" w:cs="Arial"/>
          <w:i/>
          <w:sz w:val="22"/>
          <w:szCs w:val="22"/>
          <w:lang w:val="es-MX"/>
        </w:rPr>
        <w:t>Los contratos de arrendamiento de bienes inmuebles que celebren las dependencias y tribunales administrativos,</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deberán contener las firmas del arrendador o de su representante legal; por el arrendatario firmará el titular de</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 xml:space="preserve">la </w:t>
      </w:r>
      <w:r w:rsidRPr="009B7F80">
        <w:rPr>
          <w:rFonts w:ascii="Palatino Linotype" w:hAnsi="Palatino Linotype" w:cs="Arial"/>
          <w:i/>
          <w:sz w:val="22"/>
          <w:szCs w:val="22"/>
          <w:lang w:val="es-MX"/>
        </w:rPr>
        <w:lastRenderedPageBreak/>
        <w:t>Dirección General de Recursos Materiales, así como de la unidad de apoyo administrativo correspondiente y</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del titular de la unidad ejecutora beneficiaria del servicio, validando la suficiencia presupuestal. Para el caso de</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las entidades públicas lo hará el servidor público facultado para ello;</w:t>
      </w:r>
    </w:p>
    <w:p w14:paraId="3FE2C24D" w14:textId="77777777" w:rsidR="00AF1166" w:rsidRPr="00AF1166" w:rsidRDefault="00AF1166" w:rsidP="00AF1166">
      <w:pPr>
        <w:ind w:right="757"/>
        <w:jc w:val="both"/>
        <w:rPr>
          <w:rFonts w:ascii="Palatino Linotype" w:hAnsi="Palatino Linotype" w:cs="Arial"/>
          <w:i/>
          <w:sz w:val="22"/>
          <w:szCs w:val="22"/>
          <w:lang w:val="es-MX"/>
        </w:rPr>
      </w:pPr>
    </w:p>
    <w:p w14:paraId="37BB9605" w14:textId="4D757288" w:rsidR="009B7F80" w:rsidRDefault="00C62B1F" w:rsidP="009B7F80">
      <w:pPr>
        <w:pStyle w:val="Prrafodelista"/>
        <w:numPr>
          <w:ilvl w:val="0"/>
          <w:numId w:val="18"/>
        </w:numPr>
        <w:ind w:left="1276" w:right="757" w:hanging="567"/>
        <w:jc w:val="both"/>
        <w:rPr>
          <w:rFonts w:ascii="Palatino Linotype" w:hAnsi="Palatino Linotype" w:cs="Arial"/>
          <w:b/>
          <w:i/>
          <w:sz w:val="22"/>
          <w:szCs w:val="22"/>
          <w:lang w:val="es-MX"/>
        </w:rPr>
      </w:pPr>
      <w:r w:rsidRPr="009B7F80">
        <w:rPr>
          <w:rFonts w:ascii="Palatino Linotype" w:hAnsi="Palatino Linotype" w:cs="Arial"/>
          <w:b/>
          <w:i/>
          <w:sz w:val="22"/>
          <w:szCs w:val="22"/>
          <w:lang w:val="es-MX"/>
        </w:rPr>
        <w:t>Los contratos por la prestación de servicios generales que celebren las dependencias y tribunales</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administrativos, deberán contener las firmas de la Dirección General de Recursos Materiales, del apoderado o</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representante legal de la empresa que prestará el servicio y la del titular de la unidad de apoyo administrativo</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correspondiente, para validar la disponibilidad presupuestal. Para el caso de las entidades públicas lo hará el</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servidor público facultado para ello;</w:t>
      </w:r>
    </w:p>
    <w:p w14:paraId="472275F0" w14:textId="77777777" w:rsidR="00AF1166" w:rsidRPr="00AF1166" w:rsidRDefault="00AF1166" w:rsidP="00AF1166">
      <w:pPr>
        <w:ind w:right="757"/>
        <w:jc w:val="both"/>
        <w:rPr>
          <w:rFonts w:ascii="Palatino Linotype" w:hAnsi="Palatino Linotype" w:cs="Arial"/>
          <w:b/>
          <w:i/>
          <w:sz w:val="22"/>
          <w:szCs w:val="22"/>
          <w:lang w:val="es-MX"/>
        </w:rPr>
      </w:pPr>
    </w:p>
    <w:p w14:paraId="67DB8F7B" w14:textId="77777777" w:rsidR="009B7F80"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9B7F80">
        <w:rPr>
          <w:rFonts w:ascii="Palatino Linotype" w:hAnsi="Palatino Linotype" w:cs="Arial"/>
          <w:i/>
          <w:sz w:val="22"/>
          <w:szCs w:val="22"/>
          <w:lang w:val="es-MX"/>
        </w:rPr>
        <w:t>Para la contratación de servicios en medios impresos o audiovisuales en materia de publicidad y propaganda,</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deberá existir la autorización de la Coordinación General de Comunicación Social;</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Para el caso de las entidades públicas se requerirá adicionalmente la autorización previa de su órgano de</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gobierno;</w:t>
      </w:r>
    </w:p>
    <w:p w14:paraId="2725AFC7" w14:textId="77777777" w:rsidR="00AF1166" w:rsidRPr="00AF1166" w:rsidRDefault="00AF1166" w:rsidP="00AF1166">
      <w:pPr>
        <w:ind w:right="757"/>
        <w:jc w:val="both"/>
        <w:rPr>
          <w:rFonts w:ascii="Palatino Linotype" w:hAnsi="Palatino Linotype" w:cs="Arial"/>
          <w:i/>
          <w:sz w:val="22"/>
          <w:szCs w:val="22"/>
          <w:lang w:val="es-MX"/>
        </w:rPr>
      </w:pPr>
    </w:p>
    <w:p w14:paraId="3F2D8741" w14:textId="77777777" w:rsidR="009B7F80" w:rsidRDefault="00C62B1F" w:rsidP="009B7F80">
      <w:pPr>
        <w:pStyle w:val="Prrafodelista"/>
        <w:numPr>
          <w:ilvl w:val="0"/>
          <w:numId w:val="18"/>
        </w:numPr>
        <w:ind w:left="1276" w:right="757" w:hanging="567"/>
        <w:jc w:val="both"/>
        <w:rPr>
          <w:rFonts w:ascii="Palatino Linotype" w:hAnsi="Palatino Linotype" w:cs="Arial"/>
          <w:i/>
          <w:sz w:val="22"/>
          <w:szCs w:val="22"/>
          <w:lang w:val="es-MX"/>
        </w:rPr>
      </w:pPr>
      <w:r w:rsidRPr="009B7F80">
        <w:rPr>
          <w:rFonts w:ascii="Palatino Linotype" w:hAnsi="Palatino Linotype" w:cs="Arial"/>
          <w:i/>
          <w:sz w:val="22"/>
          <w:szCs w:val="22"/>
          <w:lang w:val="es-MX"/>
        </w:rPr>
        <w:t>La Coordinación General de Comunicación Social tramitará ante la Tesorería el formato de solicitud de pagos</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diversos por gastos de publicidad y propaganda de las dependencias y tribunales administrativos. Emitido el</w:t>
      </w:r>
      <w:r w:rsidR="009B7F80" w:rsidRPr="009B7F80">
        <w:rPr>
          <w:rFonts w:ascii="Palatino Linotype" w:hAnsi="Palatino Linotype" w:cs="Arial"/>
          <w:i/>
          <w:sz w:val="22"/>
          <w:szCs w:val="22"/>
          <w:lang w:val="es-MX"/>
        </w:rPr>
        <w:t xml:space="preserve"> </w:t>
      </w:r>
      <w:r w:rsidRPr="009B7F80">
        <w:rPr>
          <w:rFonts w:ascii="Palatino Linotype" w:hAnsi="Palatino Linotype" w:cs="Arial"/>
          <w:i/>
          <w:sz w:val="22"/>
          <w:szCs w:val="22"/>
          <w:lang w:val="es-MX"/>
        </w:rPr>
        <w:t>contra-recibo informará a la unidad ejecutora correspondiente para la afectación y registro en su presupuesto;</w:t>
      </w:r>
    </w:p>
    <w:p w14:paraId="6A95F375" w14:textId="77777777" w:rsidR="00AF1166" w:rsidRPr="00AF1166" w:rsidRDefault="00AF1166" w:rsidP="00AF1166">
      <w:pPr>
        <w:ind w:right="757"/>
        <w:jc w:val="both"/>
        <w:rPr>
          <w:rFonts w:ascii="Palatino Linotype" w:hAnsi="Palatino Linotype" w:cs="Arial"/>
          <w:i/>
          <w:sz w:val="22"/>
          <w:szCs w:val="22"/>
          <w:lang w:val="es-MX"/>
        </w:rPr>
      </w:pPr>
    </w:p>
    <w:p w14:paraId="06B6E7E8" w14:textId="77777777" w:rsidR="009B7F80" w:rsidRDefault="00C62B1F" w:rsidP="009B7F80">
      <w:pPr>
        <w:pStyle w:val="Prrafodelista"/>
        <w:numPr>
          <w:ilvl w:val="0"/>
          <w:numId w:val="18"/>
        </w:numPr>
        <w:ind w:left="1276" w:right="757" w:hanging="567"/>
        <w:jc w:val="both"/>
        <w:rPr>
          <w:rFonts w:ascii="Palatino Linotype" w:hAnsi="Palatino Linotype" w:cs="Arial"/>
          <w:b/>
          <w:i/>
          <w:sz w:val="22"/>
          <w:szCs w:val="22"/>
          <w:lang w:val="es-MX"/>
        </w:rPr>
      </w:pPr>
      <w:r w:rsidRPr="009B7F80">
        <w:rPr>
          <w:rFonts w:ascii="Palatino Linotype" w:hAnsi="Palatino Linotype" w:cs="Arial"/>
          <w:b/>
          <w:i/>
          <w:sz w:val="22"/>
          <w:szCs w:val="22"/>
          <w:lang w:val="es-MX"/>
        </w:rPr>
        <w:t>Los anticipos y la documentación comprobatoria por concepto de gastos de viaje deberán autorizarse por el</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titular de la unidad ejecutora, debiendo observar la normatividad emitida por la Secretaría; y</w:t>
      </w:r>
      <w:r w:rsidR="009B7F80" w:rsidRPr="009B7F80">
        <w:rPr>
          <w:rFonts w:ascii="Palatino Linotype" w:hAnsi="Palatino Linotype" w:cs="Arial"/>
          <w:b/>
          <w:i/>
          <w:sz w:val="22"/>
          <w:szCs w:val="22"/>
          <w:lang w:val="es-MX"/>
        </w:rPr>
        <w:t xml:space="preserve"> </w:t>
      </w:r>
    </w:p>
    <w:p w14:paraId="012C2309" w14:textId="77777777" w:rsidR="00AF1166" w:rsidRPr="00AF1166" w:rsidRDefault="00AF1166" w:rsidP="00AF1166">
      <w:pPr>
        <w:ind w:right="757"/>
        <w:jc w:val="both"/>
        <w:rPr>
          <w:rFonts w:ascii="Palatino Linotype" w:hAnsi="Palatino Linotype" w:cs="Arial"/>
          <w:b/>
          <w:i/>
          <w:sz w:val="22"/>
          <w:szCs w:val="22"/>
          <w:lang w:val="es-MX"/>
        </w:rPr>
      </w:pPr>
    </w:p>
    <w:p w14:paraId="1B192B02" w14:textId="5D2FB89C" w:rsidR="00C62B1F" w:rsidRDefault="00C62B1F" w:rsidP="009B7F80">
      <w:pPr>
        <w:pStyle w:val="Prrafodelista"/>
        <w:numPr>
          <w:ilvl w:val="0"/>
          <w:numId w:val="18"/>
        </w:numPr>
        <w:ind w:left="1276" w:right="757" w:hanging="567"/>
        <w:jc w:val="both"/>
        <w:rPr>
          <w:rFonts w:ascii="Palatino Linotype" w:hAnsi="Palatino Linotype" w:cs="Arial"/>
          <w:b/>
          <w:i/>
          <w:sz w:val="22"/>
          <w:szCs w:val="22"/>
          <w:lang w:val="es-MX"/>
        </w:rPr>
      </w:pPr>
      <w:r w:rsidRPr="009B7F80">
        <w:rPr>
          <w:rFonts w:ascii="Palatino Linotype" w:hAnsi="Palatino Linotype" w:cs="Arial"/>
          <w:b/>
          <w:i/>
          <w:sz w:val="22"/>
          <w:szCs w:val="22"/>
          <w:lang w:val="es-MX"/>
        </w:rPr>
        <w:t>La Dirección General de Recursos Materiales, comunicará a las unidades ejecutoras de las dependencias y</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tribunales administrativos, la información del presupuesto comprometido y devengado correspondiente a las</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adquisiciones de bienes y/o servicios consolidados, que realice con cargo a sus recursos presupuestarios y les</w:t>
      </w:r>
      <w:r w:rsidR="009B7F80" w:rsidRPr="009B7F80">
        <w:rPr>
          <w:rFonts w:ascii="Palatino Linotype" w:hAnsi="Palatino Linotype" w:cs="Arial"/>
          <w:b/>
          <w:i/>
          <w:sz w:val="22"/>
          <w:szCs w:val="22"/>
          <w:lang w:val="es-MX"/>
        </w:rPr>
        <w:t xml:space="preserve"> e</w:t>
      </w:r>
      <w:r w:rsidRPr="009B7F80">
        <w:rPr>
          <w:rFonts w:ascii="Palatino Linotype" w:hAnsi="Palatino Linotype" w:cs="Arial"/>
          <w:b/>
          <w:i/>
          <w:sz w:val="22"/>
          <w:szCs w:val="22"/>
          <w:lang w:val="es-MX"/>
        </w:rPr>
        <w:t>nviará la documentación original comprobatoria para su registro presupuestal, trámite de pago y resguardo</w:t>
      </w:r>
      <w:r w:rsidR="009B7F80" w:rsidRPr="009B7F80">
        <w:rPr>
          <w:rFonts w:ascii="Palatino Linotype" w:hAnsi="Palatino Linotype" w:cs="Arial"/>
          <w:b/>
          <w:i/>
          <w:sz w:val="22"/>
          <w:szCs w:val="22"/>
          <w:lang w:val="es-MX"/>
        </w:rPr>
        <w:t xml:space="preserve"> </w:t>
      </w:r>
      <w:r w:rsidRPr="009B7F80">
        <w:rPr>
          <w:rFonts w:ascii="Palatino Linotype" w:hAnsi="Palatino Linotype" w:cs="Arial"/>
          <w:b/>
          <w:i/>
          <w:sz w:val="22"/>
          <w:szCs w:val="22"/>
          <w:lang w:val="es-MX"/>
        </w:rPr>
        <w:t>documental.</w:t>
      </w:r>
    </w:p>
    <w:p w14:paraId="661342F8" w14:textId="77777777" w:rsidR="00AF1166" w:rsidRPr="00AF1166" w:rsidRDefault="00AF1166" w:rsidP="00AF1166">
      <w:pPr>
        <w:ind w:right="757"/>
        <w:jc w:val="both"/>
        <w:rPr>
          <w:rFonts w:ascii="Palatino Linotype" w:hAnsi="Palatino Linotype" w:cs="Arial"/>
          <w:b/>
          <w:i/>
          <w:sz w:val="22"/>
          <w:szCs w:val="22"/>
          <w:lang w:val="es-MX"/>
        </w:rPr>
      </w:pPr>
    </w:p>
    <w:p w14:paraId="1083DBB0" w14:textId="3932F3FF" w:rsidR="00C62B1F" w:rsidRPr="00C62B1F" w:rsidRDefault="00C62B1F" w:rsidP="009B7F80">
      <w:pPr>
        <w:ind w:left="1276" w:right="757"/>
        <w:jc w:val="both"/>
        <w:rPr>
          <w:rFonts w:ascii="Palatino Linotype" w:hAnsi="Palatino Linotype" w:cs="Arial"/>
          <w:i/>
          <w:sz w:val="22"/>
          <w:szCs w:val="22"/>
          <w:lang w:val="es-MX"/>
        </w:rPr>
      </w:pPr>
      <w:r w:rsidRPr="00C62B1F">
        <w:rPr>
          <w:rFonts w:ascii="Palatino Linotype" w:hAnsi="Palatino Linotype" w:cs="Arial"/>
          <w:i/>
          <w:sz w:val="22"/>
          <w:szCs w:val="22"/>
          <w:lang w:val="es-MX"/>
        </w:rPr>
        <w:lastRenderedPageBreak/>
        <w:t>Para el caso de las entidades públicas estos reportes se deben generar entre el área de adquisiciones y el área</w:t>
      </w:r>
      <w:r w:rsidR="009B7F80">
        <w:rPr>
          <w:rFonts w:ascii="Palatino Linotype" w:hAnsi="Palatino Linotype" w:cs="Arial"/>
          <w:i/>
          <w:sz w:val="22"/>
          <w:szCs w:val="22"/>
          <w:lang w:val="es-MX"/>
        </w:rPr>
        <w:t xml:space="preserve"> </w:t>
      </w:r>
      <w:r w:rsidRPr="00C62B1F">
        <w:rPr>
          <w:rFonts w:ascii="Palatino Linotype" w:hAnsi="Palatino Linotype" w:cs="Arial"/>
          <w:i/>
          <w:sz w:val="22"/>
          <w:szCs w:val="22"/>
          <w:lang w:val="es-MX"/>
        </w:rPr>
        <w:t>de control presupuestal.</w:t>
      </w:r>
      <w:r w:rsidR="00AF1166">
        <w:rPr>
          <w:rFonts w:ascii="Palatino Linotype" w:hAnsi="Palatino Linotype" w:cs="Arial"/>
          <w:i/>
          <w:sz w:val="22"/>
          <w:szCs w:val="22"/>
          <w:lang w:val="es-MX"/>
        </w:rPr>
        <w:t>”</w:t>
      </w:r>
    </w:p>
    <w:p w14:paraId="2D8FB5E5" w14:textId="77777777" w:rsidR="00C62B1F" w:rsidRPr="00E057D8" w:rsidRDefault="00C62B1F" w:rsidP="00C62B1F">
      <w:pPr>
        <w:spacing w:line="360" w:lineRule="auto"/>
        <w:jc w:val="both"/>
        <w:rPr>
          <w:rFonts w:ascii="Palatino Linotype" w:hAnsi="Palatino Linotype" w:cs="Arial"/>
          <w:lang w:val="es-MX"/>
        </w:rPr>
      </w:pPr>
    </w:p>
    <w:p w14:paraId="2B18BFCC" w14:textId="4662919C" w:rsidR="001F5EE8" w:rsidRDefault="00AF1166" w:rsidP="00E057D8">
      <w:pPr>
        <w:spacing w:line="360" w:lineRule="auto"/>
        <w:jc w:val="both"/>
        <w:rPr>
          <w:rFonts w:ascii="Palatino Linotype" w:hAnsi="Palatino Linotype" w:cs="Arial"/>
          <w:lang w:val="es-MX"/>
        </w:rPr>
      </w:pPr>
      <w:r>
        <w:rPr>
          <w:rFonts w:ascii="Palatino Linotype" w:hAnsi="Palatino Linotype" w:cs="Arial"/>
          <w:lang w:val="es-MX"/>
        </w:rPr>
        <w:t xml:space="preserve">De lo anterior, resulta claro que el hecho de haber suscrito un contrato no constriñe al </w:t>
      </w:r>
      <w:r w:rsidRPr="00AF1166">
        <w:rPr>
          <w:rFonts w:ascii="Palatino Linotype" w:hAnsi="Palatino Linotype" w:cs="Arial"/>
          <w:b/>
          <w:lang w:val="es-MX"/>
        </w:rPr>
        <w:t>SUJETO OBLIGADO</w:t>
      </w:r>
      <w:r>
        <w:rPr>
          <w:rFonts w:ascii="Palatino Linotype" w:hAnsi="Palatino Linotype" w:cs="Arial"/>
          <w:lang w:val="es-MX"/>
        </w:rPr>
        <w:t xml:space="preserve"> a contar con la información relacionada con el pago del mismo, ya que la documentación original es remitida a la Unidad Ejecutora para el ejercicio del gasto, y entonces sí realizar la integración de los documentos que acrediten los pagos, por tanto es claro la falta de fuente obligacional para contar con las facturas que en el presente caso nos ocupan.</w:t>
      </w:r>
    </w:p>
    <w:p w14:paraId="4F6A6CA7" w14:textId="77777777" w:rsidR="00AF1166" w:rsidRDefault="00AF1166" w:rsidP="00E057D8">
      <w:pPr>
        <w:spacing w:line="360" w:lineRule="auto"/>
        <w:jc w:val="both"/>
        <w:rPr>
          <w:rFonts w:ascii="Palatino Linotype" w:hAnsi="Palatino Linotype" w:cs="Arial"/>
          <w:lang w:val="es-MX"/>
        </w:rPr>
      </w:pPr>
    </w:p>
    <w:p w14:paraId="058218F7" w14:textId="11ED4FAD" w:rsidR="002334AE" w:rsidRPr="00E057D8" w:rsidRDefault="002334AE" w:rsidP="00E057D8">
      <w:pPr>
        <w:spacing w:line="360" w:lineRule="auto"/>
        <w:jc w:val="both"/>
        <w:rPr>
          <w:rFonts w:ascii="Palatino Linotype" w:hAnsi="Palatino Linotype" w:cs="Arial"/>
          <w:bCs/>
        </w:rPr>
      </w:pPr>
      <w:r w:rsidRPr="00E057D8">
        <w:rPr>
          <w:rFonts w:ascii="Palatino Linotype" w:hAnsi="Palatino Linotype" w:cs="Arial"/>
          <w:bCs/>
        </w:rPr>
        <w:t xml:space="preserve">Asimismo, debe dejarse en claro que al haber existido un pronunciamiento por parte del </w:t>
      </w:r>
      <w:r w:rsidRPr="00E057D8">
        <w:rPr>
          <w:rFonts w:ascii="Palatino Linotype" w:hAnsi="Palatino Linotype" w:cs="Arial"/>
          <w:b/>
          <w:bCs/>
        </w:rPr>
        <w:t>SUJETO OBLIGADO</w:t>
      </w:r>
      <w:r w:rsidRPr="00E057D8">
        <w:rPr>
          <w:rFonts w:ascii="Palatino Linotype" w:hAnsi="Palatino Linotype" w:cs="Arial"/>
          <w:bC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25F1417F" w14:textId="77777777" w:rsidR="002334AE" w:rsidRPr="00E057D8" w:rsidRDefault="002334AE" w:rsidP="00E057D8">
      <w:pPr>
        <w:spacing w:line="360" w:lineRule="auto"/>
        <w:jc w:val="both"/>
        <w:rPr>
          <w:rFonts w:ascii="Palatino Linotype" w:hAnsi="Palatino Linotype" w:cs="Arial"/>
          <w:bCs/>
        </w:rPr>
      </w:pPr>
    </w:p>
    <w:p w14:paraId="13923A2D" w14:textId="6B047B0B" w:rsidR="002334AE" w:rsidRPr="00AF1166" w:rsidRDefault="002334AE" w:rsidP="00AF1166">
      <w:pPr>
        <w:ind w:left="709" w:right="757"/>
        <w:jc w:val="both"/>
        <w:rPr>
          <w:rFonts w:ascii="Palatino Linotype" w:hAnsi="Palatino Linotype" w:cs="Arial"/>
          <w:bCs/>
          <w:i/>
          <w:sz w:val="22"/>
        </w:rPr>
      </w:pPr>
      <w:r w:rsidRPr="00AF1166">
        <w:rPr>
          <w:rFonts w:ascii="Palatino Linotype" w:hAnsi="Palatino Linotype" w:cs="Arial"/>
          <w:bCs/>
          <w:i/>
          <w:sz w:val="22"/>
        </w:rPr>
        <w:t>“</w:t>
      </w:r>
      <w:r w:rsidRPr="00AF1166">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AF1166">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AF1166">
        <w:rPr>
          <w:rFonts w:ascii="Palatino Linotype" w:hAnsi="Palatino Linotype" w:cs="Arial"/>
          <w:bCs/>
          <w:i/>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6BCE962E" w14:textId="77777777" w:rsidR="002334AE" w:rsidRPr="00E057D8" w:rsidRDefault="002334AE" w:rsidP="00E057D8">
      <w:pPr>
        <w:spacing w:line="360" w:lineRule="auto"/>
        <w:rPr>
          <w:rFonts w:ascii="Palatino Linotype" w:hAnsi="Palatino Linotype" w:cstheme="minorBidi"/>
        </w:rPr>
      </w:pPr>
    </w:p>
    <w:p w14:paraId="5758103A" w14:textId="3EE0370A" w:rsidR="00AF1166" w:rsidRDefault="00AF1166" w:rsidP="00AF1166">
      <w:pPr>
        <w:spacing w:line="360" w:lineRule="auto"/>
        <w:jc w:val="both"/>
        <w:rPr>
          <w:rFonts w:ascii="Palatino Linotype" w:hAnsi="Palatino Linotype" w:cs="Arial"/>
        </w:rPr>
      </w:pPr>
      <w:r>
        <w:rPr>
          <w:rFonts w:ascii="Palatino Linotype" w:hAnsi="Palatino Linotype"/>
        </w:rPr>
        <w:t>En ese contexto</w:t>
      </w:r>
      <w:r>
        <w:rPr>
          <w:rFonts w:ascii="Palatino Linotype" w:hAnsi="Palatino Linotype" w:cs="Arial"/>
        </w:rPr>
        <w:t xml:space="preserve">, la que suscribe, emite </w:t>
      </w:r>
      <w:r w:rsidRPr="003031E1">
        <w:rPr>
          <w:rFonts w:ascii="Palatino Linotype" w:hAnsi="Palatino Linotype" w:cs="Arial"/>
          <w:b/>
        </w:rPr>
        <w:t>VOTO PARTICULAR</w:t>
      </w:r>
      <w:r>
        <w:rPr>
          <w:rFonts w:ascii="Palatino Linotype" w:hAnsi="Palatino Linotype" w:cs="Arial"/>
        </w:rPr>
        <w:t>, pues se insiste que l</w:t>
      </w:r>
      <w:r w:rsidRPr="00AF1166">
        <w:rPr>
          <w:rFonts w:ascii="Palatino Linotype" w:hAnsi="Palatino Linotype" w:cs="Arial"/>
        </w:rPr>
        <w:t>as facturas requeridas en las solicitudes de información 00246/SF/IP/2018 y 00245/SF/IP/2018</w:t>
      </w:r>
      <w:r>
        <w:rPr>
          <w:rFonts w:ascii="Palatino Linotype" w:hAnsi="Palatino Linotype" w:cs="Arial"/>
        </w:rPr>
        <w:t>, no debió ordenarse su entrega en la resolución de</w:t>
      </w:r>
      <w:r w:rsidR="00FD5BAF">
        <w:rPr>
          <w:rFonts w:ascii="Palatino Linotype" w:hAnsi="Palatino Linotype" w:cs="Arial"/>
        </w:rPr>
        <w:t xml:space="preserve"> </w:t>
      </w:r>
      <w:r>
        <w:rPr>
          <w:rFonts w:ascii="Palatino Linotype" w:hAnsi="Palatino Linotype" w:cs="Arial"/>
        </w:rPr>
        <w:t>l</w:t>
      </w:r>
      <w:r w:rsidR="00FD5BAF">
        <w:rPr>
          <w:rFonts w:ascii="Palatino Linotype" w:hAnsi="Palatino Linotype" w:cs="Arial"/>
        </w:rPr>
        <w:t>os</w:t>
      </w:r>
      <w:r>
        <w:rPr>
          <w:rFonts w:ascii="Palatino Linotype" w:hAnsi="Palatino Linotype" w:cs="Arial"/>
        </w:rPr>
        <w:t xml:space="preserve"> recurso</w:t>
      </w:r>
      <w:r w:rsidR="00FD5BAF">
        <w:rPr>
          <w:rFonts w:ascii="Palatino Linotype" w:hAnsi="Palatino Linotype" w:cs="Arial"/>
        </w:rPr>
        <w:t>s</w:t>
      </w:r>
      <w:r>
        <w:rPr>
          <w:rFonts w:ascii="Palatino Linotype" w:hAnsi="Palatino Linotype" w:cs="Arial"/>
        </w:rPr>
        <w:t xml:space="preserve"> de revisión que di</w:t>
      </w:r>
      <w:r w:rsidR="00FD5BAF">
        <w:rPr>
          <w:rFonts w:ascii="Palatino Linotype" w:hAnsi="Palatino Linotype" w:cs="Arial"/>
        </w:rPr>
        <w:t>eron</w:t>
      </w:r>
      <w:r>
        <w:rPr>
          <w:rFonts w:ascii="Palatino Linotype" w:hAnsi="Palatino Linotype" w:cs="Arial"/>
        </w:rPr>
        <w:t xml:space="preserve"> origen al presente voto, por no existir fuente obligacional que constriña al </w:t>
      </w:r>
      <w:r w:rsidRPr="00F5073D">
        <w:rPr>
          <w:rFonts w:ascii="Palatino Linotype" w:hAnsi="Palatino Linotype" w:cs="Arial"/>
          <w:b/>
        </w:rPr>
        <w:t>SUJETO OBLIGADO</w:t>
      </w:r>
      <w:r>
        <w:rPr>
          <w:rFonts w:ascii="Palatino Linotype" w:hAnsi="Palatino Linotype" w:cs="Arial"/>
        </w:rPr>
        <w:t xml:space="preserve"> de poseerla</w:t>
      </w:r>
      <w:r w:rsidR="00FD5BAF">
        <w:rPr>
          <w:rFonts w:ascii="Palatino Linotype" w:hAnsi="Palatino Linotype" w:cs="Arial"/>
        </w:rPr>
        <w:t xml:space="preserve"> o administrarla</w:t>
      </w:r>
      <w:r>
        <w:rPr>
          <w:rFonts w:ascii="Palatino Linotype" w:hAnsi="Palatino Linotype" w:cs="Arial"/>
        </w:rPr>
        <w:t>.</w:t>
      </w:r>
      <w:r w:rsidRPr="00F5073D">
        <w:rPr>
          <w:rFonts w:ascii="Palatino Linotype" w:hAnsi="Palatino Linotype" w:cs="Arial"/>
        </w:rPr>
        <w:t xml:space="preserve"> </w:t>
      </w:r>
    </w:p>
    <w:p w14:paraId="1BC0C297" w14:textId="77777777" w:rsidR="00AF1166" w:rsidRDefault="00AF1166" w:rsidP="00AF1166">
      <w:pPr>
        <w:spacing w:line="360" w:lineRule="auto"/>
        <w:jc w:val="both"/>
        <w:rPr>
          <w:rFonts w:ascii="Palatino Linotype" w:hAnsi="Palatino Linotype" w:cs="Arial"/>
        </w:rPr>
      </w:pPr>
    </w:p>
    <w:p w14:paraId="4CF5ED93" w14:textId="77777777" w:rsidR="00AF1166" w:rsidRPr="00E27F2A" w:rsidRDefault="00AF1166" w:rsidP="00AF1166">
      <w:pPr>
        <w:spacing w:line="360" w:lineRule="auto"/>
        <w:jc w:val="both"/>
        <w:rPr>
          <w:rFonts w:ascii="Palatino Linotype" w:hAnsi="Palatino Linotype" w:cs="Arial"/>
          <w:b/>
        </w:rPr>
      </w:pPr>
    </w:p>
    <w:tbl>
      <w:tblPr>
        <w:tblW w:w="4393" w:type="dxa"/>
        <w:jc w:val="center"/>
        <w:tblLayout w:type="fixed"/>
        <w:tblLook w:val="04A0" w:firstRow="1" w:lastRow="0" w:firstColumn="1" w:lastColumn="0" w:noHBand="0" w:noVBand="1"/>
      </w:tblPr>
      <w:tblGrid>
        <w:gridCol w:w="4393"/>
      </w:tblGrid>
      <w:tr w:rsidR="00AF1166" w:rsidRPr="001950C9" w14:paraId="061B2506" w14:textId="77777777" w:rsidTr="00805B1C">
        <w:trPr>
          <w:jc w:val="center"/>
        </w:trPr>
        <w:tc>
          <w:tcPr>
            <w:tcW w:w="4393" w:type="dxa"/>
          </w:tcPr>
          <w:p w14:paraId="68737043" w14:textId="77777777" w:rsidR="00AF1166" w:rsidRDefault="00AF1166" w:rsidP="00805B1C">
            <w:pPr>
              <w:spacing w:line="360" w:lineRule="auto"/>
              <w:jc w:val="center"/>
              <w:rPr>
                <w:rFonts w:ascii="Palatino Linotype" w:hAnsi="Palatino Linotype"/>
                <w:b/>
              </w:rPr>
            </w:pPr>
          </w:p>
          <w:p w14:paraId="2FA6A976" w14:textId="77777777" w:rsidR="00AF1166" w:rsidRDefault="00AF1166" w:rsidP="00805B1C">
            <w:pPr>
              <w:spacing w:line="360" w:lineRule="auto"/>
              <w:jc w:val="center"/>
              <w:rPr>
                <w:rFonts w:ascii="Palatino Linotype" w:hAnsi="Palatino Linotype"/>
                <w:b/>
              </w:rPr>
            </w:pPr>
          </w:p>
          <w:p w14:paraId="62D57EDB" w14:textId="77777777" w:rsidR="000277FF" w:rsidRDefault="000277FF" w:rsidP="00805B1C">
            <w:pPr>
              <w:spacing w:line="360" w:lineRule="auto"/>
              <w:jc w:val="center"/>
              <w:rPr>
                <w:rFonts w:ascii="Palatino Linotype" w:hAnsi="Palatino Linotype"/>
                <w:b/>
              </w:rPr>
            </w:pPr>
          </w:p>
          <w:p w14:paraId="337072E6" w14:textId="77777777" w:rsidR="000277FF" w:rsidRPr="001950C9" w:rsidRDefault="000277FF" w:rsidP="00805B1C">
            <w:pPr>
              <w:spacing w:line="360" w:lineRule="auto"/>
              <w:jc w:val="center"/>
              <w:rPr>
                <w:rFonts w:ascii="Palatino Linotype" w:hAnsi="Palatino Linotype"/>
                <w:b/>
              </w:rPr>
            </w:pPr>
          </w:p>
          <w:p w14:paraId="27BFD5A8" w14:textId="77777777" w:rsidR="00AF1166" w:rsidRPr="001950C9" w:rsidRDefault="00AF1166" w:rsidP="00AF1166">
            <w:pPr>
              <w:jc w:val="center"/>
              <w:rPr>
                <w:rFonts w:ascii="Palatino Linotype" w:hAnsi="Palatino Linotype"/>
                <w:b/>
              </w:rPr>
            </w:pPr>
            <w:r w:rsidRPr="001950C9">
              <w:rPr>
                <w:rFonts w:ascii="Palatino Linotype" w:hAnsi="Palatino Linotype"/>
                <w:b/>
              </w:rPr>
              <w:t xml:space="preserve">EVA ABAID YAPUR </w:t>
            </w:r>
          </w:p>
          <w:p w14:paraId="38F6FF3E" w14:textId="77777777" w:rsidR="00AF1166" w:rsidRDefault="00AF1166" w:rsidP="000277FF">
            <w:pPr>
              <w:jc w:val="center"/>
              <w:rPr>
                <w:rFonts w:ascii="Palatino Linotype" w:hAnsi="Palatino Linotype"/>
                <w:b/>
              </w:rPr>
            </w:pPr>
            <w:r w:rsidRPr="001950C9">
              <w:rPr>
                <w:rFonts w:ascii="Palatino Linotype" w:hAnsi="Palatino Linotype"/>
                <w:b/>
              </w:rPr>
              <w:t>COMISIONADA</w:t>
            </w:r>
          </w:p>
          <w:p w14:paraId="5420B70C" w14:textId="34F913C6" w:rsidR="009509BD" w:rsidRPr="001950C9" w:rsidRDefault="009509BD" w:rsidP="000277FF">
            <w:pPr>
              <w:jc w:val="center"/>
              <w:rPr>
                <w:rFonts w:ascii="Palatino Linotype" w:hAnsi="Palatino Linotype"/>
                <w:b/>
              </w:rPr>
            </w:pPr>
            <w:r>
              <w:rPr>
                <w:rFonts w:ascii="Palatino Linotype" w:hAnsi="Palatino Linotype" w:cs="Arial"/>
                <w:b/>
              </w:rPr>
              <w:t>(RÚBRICA)</w:t>
            </w:r>
          </w:p>
        </w:tc>
      </w:tr>
    </w:tbl>
    <w:p w14:paraId="16B3BCE0" w14:textId="267E538D" w:rsidR="004C7F97" w:rsidRPr="00E057D8" w:rsidRDefault="004C7F97" w:rsidP="00E057D8">
      <w:pPr>
        <w:spacing w:line="360" w:lineRule="auto"/>
        <w:ind w:right="49"/>
        <w:jc w:val="both"/>
        <w:rPr>
          <w:rFonts w:ascii="Palatino Linotype" w:hAnsi="Palatino Linotype" w:cs="Arial"/>
        </w:rPr>
      </w:pPr>
    </w:p>
    <w:p w14:paraId="264890C8" w14:textId="77777777" w:rsidR="00A500E1" w:rsidRPr="00E057D8" w:rsidRDefault="00A500E1" w:rsidP="00E057D8">
      <w:pPr>
        <w:spacing w:line="360" w:lineRule="auto"/>
        <w:jc w:val="center"/>
        <w:rPr>
          <w:rFonts w:ascii="Palatino Linotype" w:hAnsi="Palatino Linotype"/>
          <w:b/>
        </w:rPr>
      </w:pPr>
    </w:p>
    <w:p w14:paraId="5FC62C55" w14:textId="77777777" w:rsidR="00AF1166" w:rsidRPr="00E057D8" w:rsidRDefault="00AF1166" w:rsidP="00E057D8">
      <w:pPr>
        <w:spacing w:line="360" w:lineRule="auto"/>
        <w:jc w:val="center"/>
        <w:rPr>
          <w:rFonts w:ascii="Palatino Linotype" w:hAnsi="Palatino Linotype"/>
          <w:b/>
        </w:rPr>
      </w:pPr>
    </w:p>
    <w:p w14:paraId="1C1B42AA" w14:textId="77777777" w:rsidR="00702715" w:rsidRPr="00E057D8" w:rsidRDefault="00702715" w:rsidP="00E057D8">
      <w:pPr>
        <w:spacing w:line="360" w:lineRule="auto"/>
        <w:jc w:val="both"/>
        <w:rPr>
          <w:rFonts w:ascii="Palatino Linotype" w:eastAsia="Calibri" w:hAnsi="Palatino Linotype" w:cs="Arial"/>
          <w:color w:val="000000" w:themeColor="text1"/>
        </w:rPr>
      </w:pPr>
      <w:bookmarkStart w:id="0" w:name="_GoBack"/>
      <w:bookmarkEnd w:id="0"/>
    </w:p>
    <w:p w14:paraId="103C5D3D" w14:textId="7FD7F312" w:rsidR="003F6E4F" w:rsidRPr="00141797" w:rsidRDefault="00FF7C70" w:rsidP="00AF1166">
      <w:pPr>
        <w:jc w:val="both"/>
        <w:rPr>
          <w:rFonts w:ascii="Palatino Linotype" w:eastAsia="Calibri" w:hAnsi="Palatino Linotype" w:cs="Arial"/>
          <w:color w:val="000000" w:themeColor="text1"/>
          <w:sz w:val="20"/>
        </w:rPr>
      </w:pPr>
      <w:r w:rsidRPr="00141797">
        <w:rPr>
          <w:rFonts w:ascii="Palatino Linotype" w:eastAsia="Calibri" w:hAnsi="Palatino Linotype" w:cs="Arial"/>
          <w:color w:val="000000" w:themeColor="text1"/>
          <w:sz w:val="20"/>
        </w:rPr>
        <w:t>Esta hoja corresponde al voto particular emitido en</w:t>
      </w:r>
      <w:r w:rsidR="003F6E4F" w:rsidRPr="00141797">
        <w:rPr>
          <w:rFonts w:ascii="Palatino Linotype" w:eastAsia="Calibri" w:hAnsi="Palatino Linotype" w:cs="Arial"/>
          <w:color w:val="000000" w:themeColor="text1"/>
          <w:sz w:val="20"/>
        </w:rPr>
        <w:t xml:space="preserve"> la resolución de</w:t>
      </w:r>
      <w:r w:rsidR="00AF1166" w:rsidRPr="00141797">
        <w:rPr>
          <w:rFonts w:ascii="Palatino Linotype" w:eastAsia="Calibri" w:hAnsi="Palatino Linotype" w:cs="Arial"/>
          <w:color w:val="000000" w:themeColor="text1"/>
          <w:sz w:val="20"/>
        </w:rPr>
        <w:t xml:space="preserve"> </w:t>
      </w:r>
      <w:r w:rsidR="003F6E4F" w:rsidRPr="00141797">
        <w:rPr>
          <w:rFonts w:ascii="Palatino Linotype" w:eastAsia="Calibri" w:hAnsi="Palatino Linotype" w:cs="Arial"/>
          <w:color w:val="000000" w:themeColor="text1"/>
          <w:sz w:val="20"/>
        </w:rPr>
        <w:t>l</w:t>
      </w:r>
      <w:r w:rsidR="00AF1166" w:rsidRPr="00141797">
        <w:rPr>
          <w:rFonts w:ascii="Palatino Linotype" w:eastAsia="Calibri" w:hAnsi="Palatino Linotype" w:cs="Arial"/>
          <w:color w:val="000000" w:themeColor="text1"/>
          <w:sz w:val="20"/>
        </w:rPr>
        <w:t>os</w:t>
      </w:r>
      <w:r w:rsidRPr="00141797">
        <w:rPr>
          <w:rFonts w:ascii="Palatino Linotype" w:eastAsia="Calibri" w:hAnsi="Palatino Linotype" w:cs="Arial"/>
          <w:color w:val="000000" w:themeColor="text1"/>
          <w:sz w:val="20"/>
        </w:rPr>
        <w:t xml:space="preserve"> recurso</w:t>
      </w:r>
      <w:r w:rsidR="00AF1166" w:rsidRPr="00141797">
        <w:rPr>
          <w:rFonts w:ascii="Palatino Linotype" w:eastAsia="Calibri" w:hAnsi="Palatino Linotype" w:cs="Arial"/>
          <w:color w:val="000000" w:themeColor="text1"/>
          <w:sz w:val="20"/>
        </w:rPr>
        <w:t>s</w:t>
      </w:r>
      <w:r w:rsidRPr="00141797">
        <w:rPr>
          <w:rFonts w:ascii="Palatino Linotype" w:eastAsia="Calibri" w:hAnsi="Palatino Linotype" w:cs="Arial"/>
          <w:color w:val="000000" w:themeColor="text1"/>
          <w:sz w:val="20"/>
        </w:rPr>
        <w:t xml:space="preserve"> de revisión </w:t>
      </w:r>
      <w:r w:rsidR="00AF1166" w:rsidRPr="00141797">
        <w:rPr>
          <w:rFonts w:ascii="Palatino Linotype" w:eastAsia="Calibri" w:hAnsi="Palatino Linotype" w:cs="Arial"/>
          <w:color w:val="000000" w:themeColor="text1"/>
          <w:sz w:val="20"/>
        </w:rPr>
        <w:t>02010/INFOEM/IP/RR/2018 y 02012/INFOEM/IP/RR/2018 acumulados</w:t>
      </w:r>
      <w:r w:rsidR="00A77F5C" w:rsidRPr="00141797">
        <w:rPr>
          <w:rFonts w:ascii="Palatino Linotype" w:eastAsia="Calibri" w:hAnsi="Palatino Linotype" w:cs="Arial"/>
          <w:color w:val="000000" w:themeColor="text1"/>
          <w:sz w:val="20"/>
        </w:rPr>
        <w:t>, aprobad</w:t>
      </w:r>
      <w:r w:rsidR="003F6E4F" w:rsidRPr="00141797">
        <w:rPr>
          <w:rFonts w:ascii="Palatino Linotype" w:eastAsia="Calibri" w:hAnsi="Palatino Linotype" w:cs="Arial"/>
          <w:color w:val="000000" w:themeColor="text1"/>
          <w:sz w:val="20"/>
        </w:rPr>
        <w:t>a</w:t>
      </w:r>
      <w:r w:rsidRPr="00141797">
        <w:rPr>
          <w:rFonts w:ascii="Palatino Linotype" w:eastAsia="Calibri" w:hAnsi="Palatino Linotype" w:cs="Arial"/>
          <w:color w:val="000000" w:themeColor="text1"/>
          <w:sz w:val="20"/>
        </w:rPr>
        <w:t xml:space="preserve"> el </w:t>
      </w:r>
      <w:r w:rsidR="00AF1166" w:rsidRPr="00141797">
        <w:rPr>
          <w:rFonts w:ascii="Palatino Linotype" w:eastAsia="Calibri" w:hAnsi="Palatino Linotype" w:cs="Arial"/>
          <w:color w:val="000000" w:themeColor="text1"/>
          <w:sz w:val="20"/>
        </w:rPr>
        <w:t xml:space="preserve">quince de agosto </w:t>
      </w:r>
      <w:r w:rsidRPr="00141797">
        <w:rPr>
          <w:rFonts w:ascii="Palatino Linotype" w:eastAsia="Calibri" w:hAnsi="Palatino Linotype" w:cs="Arial"/>
          <w:color w:val="000000" w:themeColor="text1"/>
          <w:sz w:val="20"/>
        </w:rPr>
        <w:t xml:space="preserve">de dos mil </w:t>
      </w:r>
      <w:r w:rsidR="003F6E4F" w:rsidRPr="00141797">
        <w:rPr>
          <w:rFonts w:ascii="Palatino Linotype" w:eastAsia="Calibri" w:hAnsi="Palatino Linotype" w:cs="Arial"/>
          <w:color w:val="000000" w:themeColor="text1"/>
          <w:sz w:val="20"/>
        </w:rPr>
        <w:t>dieciocho</w:t>
      </w:r>
      <w:r w:rsidRPr="00141797">
        <w:rPr>
          <w:rFonts w:ascii="Palatino Linotype" w:eastAsia="Calibri" w:hAnsi="Palatino Linotype" w:cs="Arial"/>
          <w:color w:val="000000" w:themeColor="text1"/>
          <w:sz w:val="20"/>
        </w:rPr>
        <w:t>.</w:t>
      </w:r>
      <w:r w:rsidR="003F074A" w:rsidRPr="00141797">
        <w:rPr>
          <w:rFonts w:ascii="Palatino Linotype" w:eastAsia="Calibri" w:hAnsi="Palatino Linotype" w:cs="Arial"/>
          <w:color w:val="000000" w:themeColor="text1"/>
          <w:sz w:val="20"/>
        </w:rPr>
        <w:t xml:space="preserve"> </w:t>
      </w:r>
    </w:p>
    <w:p w14:paraId="7BF4A523" w14:textId="77777777" w:rsidR="000277FF" w:rsidRPr="00141797" w:rsidRDefault="000277FF" w:rsidP="00AF1166">
      <w:pPr>
        <w:jc w:val="both"/>
        <w:rPr>
          <w:rFonts w:ascii="Palatino Linotype" w:eastAsia="Calibri" w:hAnsi="Palatino Linotype" w:cs="Arial"/>
          <w:color w:val="000000" w:themeColor="text1"/>
          <w:sz w:val="6"/>
        </w:rPr>
      </w:pPr>
    </w:p>
    <w:p w14:paraId="5AE66B35" w14:textId="76D19BD6" w:rsidR="008F5190" w:rsidRPr="00141797" w:rsidRDefault="00FF7C70" w:rsidP="00AF1166">
      <w:pPr>
        <w:jc w:val="both"/>
        <w:rPr>
          <w:rFonts w:ascii="Palatino Linotype" w:eastAsia="Calibri" w:hAnsi="Palatino Linotype" w:cs="Arial"/>
          <w:color w:val="000000" w:themeColor="text1"/>
          <w:sz w:val="20"/>
        </w:rPr>
      </w:pPr>
      <w:r w:rsidRPr="00141797">
        <w:rPr>
          <w:rFonts w:ascii="Palatino Linotype" w:eastAsia="Calibri" w:hAnsi="Palatino Linotype" w:cs="Arial"/>
          <w:color w:val="000000" w:themeColor="text1"/>
          <w:sz w:val="20"/>
        </w:rPr>
        <w:t>YSM/</w:t>
      </w:r>
      <w:r w:rsidR="00A77F5C" w:rsidRPr="00141797">
        <w:rPr>
          <w:rFonts w:ascii="Palatino Linotype" w:eastAsia="Calibri" w:hAnsi="Palatino Linotype" w:cs="Arial"/>
          <w:color w:val="000000" w:themeColor="text1"/>
          <w:sz w:val="20"/>
        </w:rPr>
        <w:t>A</w:t>
      </w:r>
      <w:r w:rsidRPr="00141797">
        <w:rPr>
          <w:rFonts w:ascii="Palatino Linotype" w:eastAsia="Calibri" w:hAnsi="Palatino Linotype" w:cs="Arial"/>
          <w:color w:val="000000" w:themeColor="text1"/>
          <w:sz w:val="20"/>
        </w:rPr>
        <w:t>TU</w:t>
      </w:r>
    </w:p>
    <w:sectPr w:rsidR="008F5190" w:rsidRPr="00141797" w:rsidSect="00E057D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E2804" w14:textId="77777777" w:rsidR="00645EB2" w:rsidRDefault="00645EB2" w:rsidP="00C80F8C">
      <w:r>
        <w:separator/>
      </w:r>
    </w:p>
  </w:endnote>
  <w:endnote w:type="continuationSeparator" w:id="0">
    <w:p w14:paraId="741DBD66" w14:textId="77777777" w:rsidR="00645EB2" w:rsidRDefault="00645E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509B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509B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7F2FA" w14:textId="77777777" w:rsidR="00645EB2" w:rsidRDefault="00645EB2" w:rsidP="00C80F8C">
      <w:r>
        <w:separator/>
      </w:r>
    </w:p>
  </w:footnote>
  <w:footnote w:type="continuationSeparator" w:id="0">
    <w:p w14:paraId="651C6073" w14:textId="77777777" w:rsidR="00645EB2" w:rsidRDefault="00645EB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45EB2">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1089524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F76383A"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FF7C70">
      <w:rPr>
        <w:rFonts w:ascii="Palatino Linotype" w:hAnsi="Palatino Linotype" w:cs="Arial"/>
        <w:sz w:val="20"/>
        <w:szCs w:val="20"/>
      </w:rPr>
      <w:t xml:space="preserve"> </w:t>
    </w:r>
  </w:p>
  <w:p w14:paraId="02A5BCC4" w14:textId="69AD1225" w:rsidR="00E057D8" w:rsidRDefault="0034309A"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E057D8">
      <w:rPr>
        <w:rFonts w:ascii="Palatino Linotype" w:hAnsi="Palatino Linotype" w:cs="Arial"/>
        <w:sz w:val="20"/>
        <w:szCs w:val="20"/>
      </w:rPr>
      <w:t>S</w:t>
    </w:r>
    <w:r w:rsidRPr="00706042">
      <w:rPr>
        <w:rFonts w:ascii="Palatino Linotype" w:hAnsi="Palatino Linotype" w:cs="Arial"/>
        <w:sz w:val="20"/>
        <w:szCs w:val="20"/>
      </w:rPr>
      <w:t xml:space="preserve"> DE REVISIÓN </w:t>
    </w:r>
    <w:r w:rsidR="00E057D8" w:rsidRPr="00E057D8">
      <w:rPr>
        <w:rFonts w:ascii="Palatino Linotype" w:hAnsi="Palatino Linotype" w:cs="Arial"/>
        <w:sz w:val="20"/>
        <w:szCs w:val="20"/>
      </w:rPr>
      <w:t xml:space="preserve">02010/INFOEM/IP/RR/2018 </w:t>
    </w:r>
  </w:p>
  <w:p w14:paraId="71104997" w14:textId="312B1C38" w:rsidR="00634485" w:rsidRDefault="00FD5BAF" w:rsidP="0034309A">
    <w:pPr>
      <w:pStyle w:val="Encabezado"/>
      <w:tabs>
        <w:tab w:val="clear" w:pos="4252"/>
        <w:tab w:val="clear" w:pos="8504"/>
        <w:tab w:val="left" w:pos="2326"/>
      </w:tabs>
      <w:jc w:val="right"/>
      <w:rPr>
        <w:rFonts w:ascii="Palatino Linotype" w:hAnsi="Palatino Linotype" w:cs="Arial"/>
        <w:sz w:val="20"/>
        <w:szCs w:val="20"/>
      </w:rPr>
    </w:pPr>
    <w:r w:rsidRPr="00E057D8">
      <w:rPr>
        <w:rFonts w:ascii="Palatino Linotype" w:hAnsi="Palatino Linotype" w:cs="Arial"/>
        <w:sz w:val="20"/>
        <w:szCs w:val="20"/>
      </w:rPr>
      <w:t xml:space="preserve">Y </w:t>
    </w:r>
    <w:r w:rsidR="00E057D8" w:rsidRPr="00E057D8">
      <w:rPr>
        <w:rFonts w:ascii="Palatino Linotype" w:hAnsi="Palatino Linotype" w:cs="Arial"/>
        <w:sz w:val="20"/>
        <w:szCs w:val="20"/>
      </w:rPr>
      <w:t xml:space="preserve">02012/INFOEM/IP/RR/2018 </w:t>
    </w:r>
    <w:r w:rsidRPr="00E057D8">
      <w:rPr>
        <w:rFonts w:ascii="Palatino Linotype" w:hAnsi="Palatino Linotype" w:cs="Arial"/>
        <w:sz w:val="20"/>
        <w:szCs w:val="20"/>
      </w:rPr>
      <w:t>ACUMULADOS</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7F275153" w:rsidR="0030072F" w:rsidRDefault="00645EB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2.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45EB2">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2D6"/>
    <w:multiLevelType w:val="hybridMultilevel"/>
    <w:tmpl w:val="BC467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CF7435"/>
    <w:multiLevelType w:val="hybridMultilevel"/>
    <w:tmpl w:val="4030023A"/>
    <w:lvl w:ilvl="0" w:tplc="807EFEEC">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5D17089"/>
    <w:multiLevelType w:val="hybridMultilevel"/>
    <w:tmpl w:val="167A9122"/>
    <w:lvl w:ilvl="0" w:tplc="F190D84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3106DA"/>
    <w:multiLevelType w:val="hybridMultilevel"/>
    <w:tmpl w:val="163082F4"/>
    <w:lvl w:ilvl="0" w:tplc="6576E5BC">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58F4B0C"/>
    <w:multiLevelType w:val="hybridMultilevel"/>
    <w:tmpl w:val="1F80D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2027FE"/>
    <w:multiLevelType w:val="hybridMultilevel"/>
    <w:tmpl w:val="167E2554"/>
    <w:lvl w:ilvl="0" w:tplc="5282C3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FAC4DB0"/>
    <w:multiLevelType w:val="hybridMultilevel"/>
    <w:tmpl w:val="6B8076AA"/>
    <w:lvl w:ilvl="0" w:tplc="5762DDA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0A15AD6"/>
    <w:multiLevelType w:val="hybridMultilevel"/>
    <w:tmpl w:val="B972C362"/>
    <w:lvl w:ilvl="0" w:tplc="029C94B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70E544BC"/>
    <w:multiLevelType w:val="hybridMultilevel"/>
    <w:tmpl w:val="25CED8EC"/>
    <w:lvl w:ilvl="0" w:tplc="8482DF7C">
      <w:start w:val="1"/>
      <w:numFmt w:val="upperRoman"/>
      <w:lvlText w:val="%1."/>
      <w:lvlJc w:val="left"/>
      <w:pPr>
        <w:ind w:left="1004"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7"/>
  </w:num>
  <w:num w:numId="4">
    <w:abstractNumId w:val="1"/>
  </w:num>
  <w:num w:numId="5">
    <w:abstractNumId w:val="13"/>
  </w:num>
  <w:num w:numId="6">
    <w:abstractNumId w:val="10"/>
  </w:num>
  <w:num w:numId="7">
    <w:abstractNumId w:val="16"/>
  </w:num>
  <w:num w:numId="8">
    <w:abstractNumId w:val="17"/>
  </w:num>
  <w:num w:numId="9">
    <w:abstractNumId w:val="14"/>
  </w:num>
  <w:num w:numId="10">
    <w:abstractNumId w:val="8"/>
  </w:num>
  <w:num w:numId="11">
    <w:abstractNumId w:val="5"/>
  </w:num>
  <w:num w:numId="12">
    <w:abstractNumId w:val="0"/>
  </w:num>
  <w:num w:numId="13">
    <w:abstractNumId w:val="6"/>
  </w:num>
  <w:num w:numId="14">
    <w:abstractNumId w:val="11"/>
  </w:num>
  <w:num w:numId="15">
    <w:abstractNumId w:val="9"/>
  </w:num>
  <w:num w:numId="16">
    <w:abstractNumId w:val="12"/>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7FF"/>
    <w:rsid w:val="00027B69"/>
    <w:rsid w:val="000412FB"/>
    <w:rsid w:val="00055107"/>
    <w:rsid w:val="0006079D"/>
    <w:rsid w:val="0007653D"/>
    <w:rsid w:val="00080A1C"/>
    <w:rsid w:val="00082101"/>
    <w:rsid w:val="0008542A"/>
    <w:rsid w:val="0008745A"/>
    <w:rsid w:val="00092678"/>
    <w:rsid w:val="00095B30"/>
    <w:rsid w:val="000A0386"/>
    <w:rsid w:val="000A32F3"/>
    <w:rsid w:val="000A69A0"/>
    <w:rsid w:val="000B3FFD"/>
    <w:rsid w:val="000C1A85"/>
    <w:rsid w:val="000C2CF9"/>
    <w:rsid w:val="000C4453"/>
    <w:rsid w:val="000D136C"/>
    <w:rsid w:val="000D66DE"/>
    <w:rsid w:val="000E2B1A"/>
    <w:rsid w:val="000E4C17"/>
    <w:rsid w:val="00102EEC"/>
    <w:rsid w:val="0010583C"/>
    <w:rsid w:val="001059D0"/>
    <w:rsid w:val="00117749"/>
    <w:rsid w:val="00123644"/>
    <w:rsid w:val="0013735C"/>
    <w:rsid w:val="00140058"/>
    <w:rsid w:val="00141797"/>
    <w:rsid w:val="001644FA"/>
    <w:rsid w:val="00175DEE"/>
    <w:rsid w:val="00187FFD"/>
    <w:rsid w:val="001950C9"/>
    <w:rsid w:val="001A5699"/>
    <w:rsid w:val="001D3F57"/>
    <w:rsid w:val="001E757E"/>
    <w:rsid w:val="001E763C"/>
    <w:rsid w:val="001F5EE8"/>
    <w:rsid w:val="001F7826"/>
    <w:rsid w:val="00202265"/>
    <w:rsid w:val="0022354C"/>
    <w:rsid w:val="002314AA"/>
    <w:rsid w:val="002334AE"/>
    <w:rsid w:val="0023504D"/>
    <w:rsid w:val="002373E2"/>
    <w:rsid w:val="00237A37"/>
    <w:rsid w:val="0024119C"/>
    <w:rsid w:val="00247D81"/>
    <w:rsid w:val="0025202C"/>
    <w:rsid w:val="002562CC"/>
    <w:rsid w:val="00265F75"/>
    <w:rsid w:val="00285C77"/>
    <w:rsid w:val="002940F8"/>
    <w:rsid w:val="002B176C"/>
    <w:rsid w:val="002B7856"/>
    <w:rsid w:val="002D3BBD"/>
    <w:rsid w:val="002D4526"/>
    <w:rsid w:val="002D6585"/>
    <w:rsid w:val="002D69E1"/>
    <w:rsid w:val="002E5711"/>
    <w:rsid w:val="002F5CF7"/>
    <w:rsid w:val="0030072F"/>
    <w:rsid w:val="003031E1"/>
    <w:rsid w:val="00303E1F"/>
    <w:rsid w:val="003056D9"/>
    <w:rsid w:val="003102FA"/>
    <w:rsid w:val="003169C7"/>
    <w:rsid w:val="003277AA"/>
    <w:rsid w:val="003307D4"/>
    <w:rsid w:val="0034309A"/>
    <w:rsid w:val="00351129"/>
    <w:rsid w:val="00353A1E"/>
    <w:rsid w:val="0037321B"/>
    <w:rsid w:val="00386079"/>
    <w:rsid w:val="003A3EC6"/>
    <w:rsid w:val="003A6F70"/>
    <w:rsid w:val="003C23BE"/>
    <w:rsid w:val="003C28FC"/>
    <w:rsid w:val="003C2D10"/>
    <w:rsid w:val="003C7226"/>
    <w:rsid w:val="003D1C14"/>
    <w:rsid w:val="003E7C23"/>
    <w:rsid w:val="003F074A"/>
    <w:rsid w:val="003F0C49"/>
    <w:rsid w:val="003F4C9C"/>
    <w:rsid w:val="003F6E4F"/>
    <w:rsid w:val="00400BDF"/>
    <w:rsid w:val="0040475C"/>
    <w:rsid w:val="00410D1F"/>
    <w:rsid w:val="0041327F"/>
    <w:rsid w:val="00414E48"/>
    <w:rsid w:val="00414E7B"/>
    <w:rsid w:val="004179B7"/>
    <w:rsid w:val="00422CE9"/>
    <w:rsid w:val="004315BB"/>
    <w:rsid w:val="0044271B"/>
    <w:rsid w:val="00442DBC"/>
    <w:rsid w:val="00443646"/>
    <w:rsid w:val="0044475B"/>
    <w:rsid w:val="004525F5"/>
    <w:rsid w:val="00455CB3"/>
    <w:rsid w:val="004661D2"/>
    <w:rsid w:val="004776FF"/>
    <w:rsid w:val="004830EE"/>
    <w:rsid w:val="00486F15"/>
    <w:rsid w:val="00493149"/>
    <w:rsid w:val="004B7325"/>
    <w:rsid w:val="004C40EA"/>
    <w:rsid w:val="004C64D9"/>
    <w:rsid w:val="004C7F97"/>
    <w:rsid w:val="004D0A26"/>
    <w:rsid w:val="00500FFD"/>
    <w:rsid w:val="005074B5"/>
    <w:rsid w:val="00516914"/>
    <w:rsid w:val="005236B6"/>
    <w:rsid w:val="005318AB"/>
    <w:rsid w:val="005321E3"/>
    <w:rsid w:val="00552317"/>
    <w:rsid w:val="00552EFD"/>
    <w:rsid w:val="00562649"/>
    <w:rsid w:val="00575235"/>
    <w:rsid w:val="0058067E"/>
    <w:rsid w:val="0058639E"/>
    <w:rsid w:val="005870DF"/>
    <w:rsid w:val="0058776D"/>
    <w:rsid w:val="00592A18"/>
    <w:rsid w:val="005A01B6"/>
    <w:rsid w:val="005B773B"/>
    <w:rsid w:val="005C66D4"/>
    <w:rsid w:val="005D14C4"/>
    <w:rsid w:val="005D1946"/>
    <w:rsid w:val="005F4B46"/>
    <w:rsid w:val="00612544"/>
    <w:rsid w:val="0061616C"/>
    <w:rsid w:val="006301B2"/>
    <w:rsid w:val="00634485"/>
    <w:rsid w:val="0063673D"/>
    <w:rsid w:val="00645EB2"/>
    <w:rsid w:val="00646A97"/>
    <w:rsid w:val="00663A16"/>
    <w:rsid w:val="006678E9"/>
    <w:rsid w:val="00672211"/>
    <w:rsid w:val="00675A49"/>
    <w:rsid w:val="006824EF"/>
    <w:rsid w:val="00682D89"/>
    <w:rsid w:val="00684492"/>
    <w:rsid w:val="00694EB3"/>
    <w:rsid w:val="006967D4"/>
    <w:rsid w:val="00696991"/>
    <w:rsid w:val="006A0D56"/>
    <w:rsid w:val="006A496D"/>
    <w:rsid w:val="006C0991"/>
    <w:rsid w:val="006C2DE2"/>
    <w:rsid w:val="006D6457"/>
    <w:rsid w:val="006E4874"/>
    <w:rsid w:val="006E6389"/>
    <w:rsid w:val="006E69EC"/>
    <w:rsid w:val="006F30F8"/>
    <w:rsid w:val="00701AD1"/>
    <w:rsid w:val="00702715"/>
    <w:rsid w:val="00702DEC"/>
    <w:rsid w:val="00704924"/>
    <w:rsid w:val="00712BC2"/>
    <w:rsid w:val="0071346B"/>
    <w:rsid w:val="00721966"/>
    <w:rsid w:val="00724599"/>
    <w:rsid w:val="00736C06"/>
    <w:rsid w:val="007416E3"/>
    <w:rsid w:val="00742010"/>
    <w:rsid w:val="00772360"/>
    <w:rsid w:val="0078087A"/>
    <w:rsid w:val="00782352"/>
    <w:rsid w:val="007A4AB6"/>
    <w:rsid w:val="007B6E55"/>
    <w:rsid w:val="007C0FDA"/>
    <w:rsid w:val="007C3C0E"/>
    <w:rsid w:val="007C55DD"/>
    <w:rsid w:val="007D05D8"/>
    <w:rsid w:val="007D0FEE"/>
    <w:rsid w:val="007E5B96"/>
    <w:rsid w:val="00813335"/>
    <w:rsid w:val="008217CD"/>
    <w:rsid w:val="00827787"/>
    <w:rsid w:val="00846A21"/>
    <w:rsid w:val="00847E60"/>
    <w:rsid w:val="008556C3"/>
    <w:rsid w:val="008562AB"/>
    <w:rsid w:val="00876477"/>
    <w:rsid w:val="0087782C"/>
    <w:rsid w:val="00892AFC"/>
    <w:rsid w:val="008C0700"/>
    <w:rsid w:val="008C0C70"/>
    <w:rsid w:val="008C17F2"/>
    <w:rsid w:val="008D1526"/>
    <w:rsid w:val="008D584A"/>
    <w:rsid w:val="008F5190"/>
    <w:rsid w:val="00910FE1"/>
    <w:rsid w:val="009141A6"/>
    <w:rsid w:val="00926A92"/>
    <w:rsid w:val="0093343E"/>
    <w:rsid w:val="009509BD"/>
    <w:rsid w:val="00953EC8"/>
    <w:rsid w:val="00966E59"/>
    <w:rsid w:val="00975AA3"/>
    <w:rsid w:val="00975EB9"/>
    <w:rsid w:val="00976BAB"/>
    <w:rsid w:val="009773AF"/>
    <w:rsid w:val="00986740"/>
    <w:rsid w:val="00994FFE"/>
    <w:rsid w:val="009A271C"/>
    <w:rsid w:val="009A67F5"/>
    <w:rsid w:val="009B65F4"/>
    <w:rsid w:val="009B7F80"/>
    <w:rsid w:val="009C0013"/>
    <w:rsid w:val="009C299B"/>
    <w:rsid w:val="009C2F32"/>
    <w:rsid w:val="009C46BF"/>
    <w:rsid w:val="009C73B7"/>
    <w:rsid w:val="009D63A9"/>
    <w:rsid w:val="009E5EDA"/>
    <w:rsid w:val="009F71F4"/>
    <w:rsid w:val="00A032F1"/>
    <w:rsid w:val="00A04C79"/>
    <w:rsid w:val="00A14B1D"/>
    <w:rsid w:val="00A3624F"/>
    <w:rsid w:val="00A40057"/>
    <w:rsid w:val="00A4593D"/>
    <w:rsid w:val="00A500E1"/>
    <w:rsid w:val="00A53958"/>
    <w:rsid w:val="00A53E9B"/>
    <w:rsid w:val="00A60D1E"/>
    <w:rsid w:val="00A73612"/>
    <w:rsid w:val="00A77F5C"/>
    <w:rsid w:val="00A805F0"/>
    <w:rsid w:val="00A81140"/>
    <w:rsid w:val="00A81532"/>
    <w:rsid w:val="00A824CA"/>
    <w:rsid w:val="00A913AB"/>
    <w:rsid w:val="00A97751"/>
    <w:rsid w:val="00A97B6B"/>
    <w:rsid w:val="00AA5409"/>
    <w:rsid w:val="00AB21DA"/>
    <w:rsid w:val="00AC248E"/>
    <w:rsid w:val="00AC30E5"/>
    <w:rsid w:val="00AC3F99"/>
    <w:rsid w:val="00AD0AF6"/>
    <w:rsid w:val="00AD13E4"/>
    <w:rsid w:val="00AD59F3"/>
    <w:rsid w:val="00AD6AAD"/>
    <w:rsid w:val="00AE2B18"/>
    <w:rsid w:val="00AF0B38"/>
    <w:rsid w:val="00AF1166"/>
    <w:rsid w:val="00AF3F82"/>
    <w:rsid w:val="00B106EA"/>
    <w:rsid w:val="00B12109"/>
    <w:rsid w:val="00B151A8"/>
    <w:rsid w:val="00B27BE5"/>
    <w:rsid w:val="00B337A5"/>
    <w:rsid w:val="00B3527D"/>
    <w:rsid w:val="00B35A45"/>
    <w:rsid w:val="00B36D1D"/>
    <w:rsid w:val="00B4641E"/>
    <w:rsid w:val="00B46E78"/>
    <w:rsid w:val="00B47F5A"/>
    <w:rsid w:val="00B5072E"/>
    <w:rsid w:val="00B53290"/>
    <w:rsid w:val="00B54145"/>
    <w:rsid w:val="00B57FE6"/>
    <w:rsid w:val="00B64C77"/>
    <w:rsid w:val="00B650A8"/>
    <w:rsid w:val="00B672EA"/>
    <w:rsid w:val="00B80485"/>
    <w:rsid w:val="00B95BF7"/>
    <w:rsid w:val="00B97794"/>
    <w:rsid w:val="00BA186F"/>
    <w:rsid w:val="00BB733E"/>
    <w:rsid w:val="00BC5D71"/>
    <w:rsid w:val="00BD7483"/>
    <w:rsid w:val="00C1644D"/>
    <w:rsid w:val="00C30621"/>
    <w:rsid w:val="00C307F0"/>
    <w:rsid w:val="00C3202B"/>
    <w:rsid w:val="00C4493E"/>
    <w:rsid w:val="00C45D58"/>
    <w:rsid w:val="00C62B1F"/>
    <w:rsid w:val="00C766EF"/>
    <w:rsid w:val="00C80F8C"/>
    <w:rsid w:val="00C92D88"/>
    <w:rsid w:val="00CA047D"/>
    <w:rsid w:val="00CC5EAB"/>
    <w:rsid w:val="00CD13BC"/>
    <w:rsid w:val="00CD3000"/>
    <w:rsid w:val="00CF30E8"/>
    <w:rsid w:val="00D01B99"/>
    <w:rsid w:val="00D11607"/>
    <w:rsid w:val="00D2267B"/>
    <w:rsid w:val="00D22D87"/>
    <w:rsid w:val="00D34604"/>
    <w:rsid w:val="00D46C00"/>
    <w:rsid w:val="00D519F3"/>
    <w:rsid w:val="00D557C2"/>
    <w:rsid w:val="00D64F32"/>
    <w:rsid w:val="00D93CE4"/>
    <w:rsid w:val="00DA5209"/>
    <w:rsid w:val="00DC4499"/>
    <w:rsid w:val="00DD6A6C"/>
    <w:rsid w:val="00DF733A"/>
    <w:rsid w:val="00E044DE"/>
    <w:rsid w:val="00E057D8"/>
    <w:rsid w:val="00E10A96"/>
    <w:rsid w:val="00E110E2"/>
    <w:rsid w:val="00E146AA"/>
    <w:rsid w:val="00E27F2A"/>
    <w:rsid w:val="00E313C4"/>
    <w:rsid w:val="00E42755"/>
    <w:rsid w:val="00E43B8E"/>
    <w:rsid w:val="00E45B76"/>
    <w:rsid w:val="00E46383"/>
    <w:rsid w:val="00E50E30"/>
    <w:rsid w:val="00E76ECF"/>
    <w:rsid w:val="00E80760"/>
    <w:rsid w:val="00E81A7E"/>
    <w:rsid w:val="00E81B58"/>
    <w:rsid w:val="00E8209A"/>
    <w:rsid w:val="00E91A10"/>
    <w:rsid w:val="00E96710"/>
    <w:rsid w:val="00EA27CB"/>
    <w:rsid w:val="00EA5EEB"/>
    <w:rsid w:val="00EA7874"/>
    <w:rsid w:val="00EB7480"/>
    <w:rsid w:val="00EB7DE6"/>
    <w:rsid w:val="00EB7F1A"/>
    <w:rsid w:val="00EC0002"/>
    <w:rsid w:val="00ED5EE9"/>
    <w:rsid w:val="00EE7C78"/>
    <w:rsid w:val="00EF4593"/>
    <w:rsid w:val="00F06505"/>
    <w:rsid w:val="00F36CDE"/>
    <w:rsid w:val="00F40C05"/>
    <w:rsid w:val="00F44E84"/>
    <w:rsid w:val="00F548A9"/>
    <w:rsid w:val="00F54D8B"/>
    <w:rsid w:val="00F57D55"/>
    <w:rsid w:val="00F8561B"/>
    <w:rsid w:val="00F92F15"/>
    <w:rsid w:val="00F9624E"/>
    <w:rsid w:val="00FA05FB"/>
    <w:rsid w:val="00FA0CFF"/>
    <w:rsid w:val="00FA5B44"/>
    <w:rsid w:val="00FA6221"/>
    <w:rsid w:val="00FB48D6"/>
    <w:rsid w:val="00FD5BAF"/>
    <w:rsid w:val="00FD5D5A"/>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5994">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33703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7C1D-6F42-4CD8-ACCA-D80C03FE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1765</Words>
  <Characters>9712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2018-08-20T21:14:00Z</cp:lastPrinted>
  <dcterms:created xsi:type="dcterms:W3CDTF">2018-08-20T19:52:00Z</dcterms:created>
  <dcterms:modified xsi:type="dcterms:W3CDTF">2018-10-11T01:24:00Z</dcterms:modified>
</cp:coreProperties>
</file>